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4793" w14:textId="25ED8CD2" w:rsidR="00061884" w:rsidRPr="00233C37" w:rsidRDefault="00233C37" w:rsidP="00233C37">
      <w:pPr>
        <w:rPr>
          <w:rFonts w:ascii="Book Antiqua" w:hAnsi="Book Antiqua"/>
          <w:b/>
          <w:szCs w:val="24"/>
          <w:lang w:val="es-ES_tradnl"/>
        </w:rPr>
      </w:pPr>
      <w:r w:rsidRPr="00233C37">
        <w:rPr>
          <w:rFonts w:ascii="Book Antiqua" w:hAnsi="Book Antiqua"/>
          <w:b/>
          <w:szCs w:val="24"/>
          <w:lang w:val="es-ES_tradnl"/>
        </w:rPr>
        <w:t>(</w:t>
      </w:r>
      <w:r w:rsidR="00061884" w:rsidRPr="00233C37">
        <w:rPr>
          <w:rFonts w:ascii="Book Antiqua" w:hAnsi="Book Antiqua"/>
          <w:b/>
          <w:szCs w:val="24"/>
          <w:lang w:val="es-ES_tradnl"/>
        </w:rPr>
        <w:t xml:space="preserve">P. de </w:t>
      </w:r>
      <w:r w:rsidR="006C6FBC" w:rsidRPr="00233C37">
        <w:rPr>
          <w:rFonts w:ascii="Book Antiqua" w:hAnsi="Book Antiqua"/>
          <w:b/>
          <w:szCs w:val="24"/>
          <w:lang w:val="es-ES_tradnl"/>
        </w:rPr>
        <w:t xml:space="preserve">la C. </w:t>
      </w:r>
      <w:r w:rsidR="00521934" w:rsidRPr="00233C37">
        <w:rPr>
          <w:rFonts w:ascii="Book Antiqua" w:hAnsi="Book Antiqua"/>
          <w:b/>
          <w:szCs w:val="24"/>
          <w:lang w:val="es-ES_tradnl"/>
        </w:rPr>
        <w:t>1014</w:t>
      </w:r>
      <w:r w:rsidRPr="00233C37">
        <w:rPr>
          <w:rFonts w:ascii="Book Antiqua" w:hAnsi="Book Antiqua"/>
          <w:b/>
          <w:szCs w:val="24"/>
          <w:lang w:val="es-ES_tradnl"/>
        </w:rPr>
        <w:t>)</w:t>
      </w:r>
    </w:p>
    <w:p w14:paraId="74EAC853" w14:textId="43429E6C" w:rsidR="00937FD9" w:rsidRPr="004068A8" w:rsidRDefault="00937FD9" w:rsidP="004068A8">
      <w:pPr>
        <w:jc w:val="both"/>
        <w:rPr>
          <w:rFonts w:ascii="Book Antiqua" w:hAnsi="Book Antiqua"/>
          <w:lang w:val="es-ES_tradnl"/>
        </w:rPr>
      </w:pPr>
    </w:p>
    <w:p w14:paraId="1A82E04E" w14:textId="77777777" w:rsidR="00061884" w:rsidRPr="009673F4" w:rsidRDefault="00061884" w:rsidP="00DF7481">
      <w:pPr>
        <w:jc w:val="center"/>
        <w:rPr>
          <w:rFonts w:ascii="Book Antiqua" w:hAnsi="Book Antiqua"/>
          <w:b/>
          <w:sz w:val="28"/>
          <w:lang w:val="es-ES_tradnl"/>
        </w:rPr>
      </w:pPr>
      <w:r w:rsidRPr="009673F4">
        <w:rPr>
          <w:rFonts w:ascii="Book Antiqua" w:hAnsi="Book Antiqua"/>
          <w:b/>
          <w:sz w:val="28"/>
          <w:lang w:val="es-ES_tradnl"/>
        </w:rPr>
        <w:t>LEY</w:t>
      </w:r>
    </w:p>
    <w:p w14:paraId="29E3CEE7" w14:textId="77777777" w:rsidR="00061884" w:rsidRPr="008D44BD" w:rsidRDefault="00061884" w:rsidP="00DF7481">
      <w:pPr>
        <w:jc w:val="both"/>
        <w:rPr>
          <w:rFonts w:ascii="Book Antiqua" w:hAnsi="Book Antiqua"/>
          <w:sz w:val="16"/>
          <w:szCs w:val="16"/>
          <w:lang w:val="es-ES_tradnl"/>
        </w:rPr>
      </w:pPr>
    </w:p>
    <w:p w14:paraId="23854119" w14:textId="6DB8958A" w:rsidR="00061884" w:rsidRPr="00233C37" w:rsidRDefault="00061884" w:rsidP="00DF7481">
      <w:pPr>
        <w:ind w:left="360" w:hanging="360"/>
        <w:jc w:val="both"/>
        <w:rPr>
          <w:rFonts w:ascii="Book Antiqua" w:hAnsi="Book Antiqua"/>
          <w:lang w:val="es-ES_tradnl"/>
        </w:rPr>
      </w:pPr>
      <w:r w:rsidRPr="00233C37">
        <w:rPr>
          <w:rFonts w:ascii="Book Antiqua" w:hAnsi="Book Antiqua"/>
          <w:lang w:val="es-ES_tradnl"/>
        </w:rPr>
        <w:t xml:space="preserve">Para </w:t>
      </w:r>
      <w:r w:rsidR="002E1142" w:rsidRPr="00233C37">
        <w:rPr>
          <w:rFonts w:ascii="Book Antiqua" w:hAnsi="Book Antiqua"/>
          <w:lang w:val="es-ES_tradnl"/>
        </w:rPr>
        <w:t xml:space="preserve">enmendar </w:t>
      </w:r>
      <w:r w:rsidR="00A323C0" w:rsidRPr="00233C37">
        <w:rPr>
          <w:rFonts w:ascii="Book Antiqua" w:hAnsi="Book Antiqua"/>
          <w:lang w:val="es-ES_tradnl"/>
        </w:rPr>
        <w:t xml:space="preserve">los Artículos </w:t>
      </w:r>
      <w:r w:rsidR="002E1142" w:rsidRPr="00233C37">
        <w:rPr>
          <w:rFonts w:ascii="Book Antiqua" w:hAnsi="Book Antiqua"/>
          <w:lang w:val="es-ES_tradnl"/>
        </w:rPr>
        <w:t>4.02</w:t>
      </w:r>
      <w:r w:rsidR="006A6303" w:rsidRPr="00233C37">
        <w:rPr>
          <w:rFonts w:ascii="Book Antiqua" w:hAnsi="Book Antiqua"/>
          <w:lang w:val="es-ES_tradnl"/>
        </w:rPr>
        <w:t>; 4.03</w:t>
      </w:r>
      <w:r w:rsidR="00A323C0" w:rsidRPr="00233C37">
        <w:rPr>
          <w:rFonts w:ascii="Book Antiqua" w:hAnsi="Book Antiqua"/>
          <w:lang w:val="es-ES_tradnl"/>
        </w:rPr>
        <w:t xml:space="preserve"> y 4.05</w:t>
      </w:r>
      <w:r w:rsidR="002E1142" w:rsidRPr="00233C37">
        <w:rPr>
          <w:rFonts w:ascii="Book Antiqua" w:hAnsi="Book Antiqua"/>
          <w:lang w:val="es-ES_tradnl"/>
        </w:rPr>
        <w:t xml:space="preserve"> de la Ley 154-2018, según enmendada, conocida como “Ley de Reclamaciones Fraudulentas a los Programas, Contratos y Servicios del Gobierno de Puerto Rico”, </w:t>
      </w:r>
      <w:r w:rsidR="00B13ECB" w:rsidRPr="00233C37">
        <w:rPr>
          <w:rFonts w:ascii="Book Antiqua" w:hAnsi="Book Antiqua"/>
          <w:lang w:val="es-ES_tradnl"/>
        </w:rPr>
        <w:t>a los fines</w:t>
      </w:r>
      <w:r w:rsidR="007F6CF6" w:rsidRPr="00233C37">
        <w:rPr>
          <w:rFonts w:ascii="Book Antiqua" w:hAnsi="Book Antiqua"/>
          <w:lang w:val="es-ES_tradnl"/>
        </w:rPr>
        <w:t xml:space="preserve"> </w:t>
      </w:r>
      <w:r w:rsidR="002E1142" w:rsidRPr="00233C37">
        <w:rPr>
          <w:rFonts w:ascii="Book Antiqua" w:hAnsi="Book Antiqua"/>
          <w:lang w:val="es-ES_tradnl"/>
        </w:rPr>
        <w:t xml:space="preserve">de </w:t>
      </w:r>
      <w:r w:rsidR="00814CF6" w:rsidRPr="00233C37">
        <w:rPr>
          <w:rFonts w:ascii="Book Antiqua" w:hAnsi="Book Antiqua"/>
          <w:lang w:val="es-ES_tradnl"/>
        </w:rPr>
        <w:t>limitar</w:t>
      </w:r>
      <w:r w:rsidR="002E1142" w:rsidRPr="00233C37">
        <w:rPr>
          <w:rFonts w:ascii="Book Antiqua" w:hAnsi="Book Antiqua"/>
          <w:lang w:val="es-ES_tradnl"/>
        </w:rPr>
        <w:t xml:space="preserve"> la discreción de intervención por parte del </w:t>
      </w:r>
      <w:r w:rsidR="00814CF6" w:rsidRPr="00233C37">
        <w:rPr>
          <w:rFonts w:ascii="Book Antiqua" w:hAnsi="Book Antiqua"/>
          <w:lang w:val="es-ES_tradnl"/>
        </w:rPr>
        <w:t>G</w:t>
      </w:r>
      <w:r w:rsidR="002E1142" w:rsidRPr="00233C37">
        <w:rPr>
          <w:rFonts w:ascii="Book Antiqua" w:hAnsi="Book Antiqua"/>
          <w:lang w:val="es-ES_tradnl"/>
        </w:rPr>
        <w:t>obierno</w:t>
      </w:r>
      <w:r w:rsidR="00814CF6" w:rsidRPr="00233C37">
        <w:rPr>
          <w:rFonts w:ascii="Book Antiqua" w:hAnsi="Book Antiqua"/>
          <w:lang w:val="es-ES_tradnl"/>
        </w:rPr>
        <w:t xml:space="preserve"> en estos pleitos</w:t>
      </w:r>
      <w:r w:rsidRPr="00233C37">
        <w:rPr>
          <w:rFonts w:ascii="Book Antiqua" w:hAnsi="Book Antiqua"/>
          <w:lang w:val="es-ES_tradnl"/>
        </w:rPr>
        <w:t xml:space="preserve">; </w:t>
      </w:r>
      <w:r w:rsidR="002E1142" w:rsidRPr="00233C37">
        <w:rPr>
          <w:rFonts w:ascii="Book Antiqua" w:hAnsi="Book Antiqua"/>
          <w:lang w:val="es-ES_tradnl"/>
        </w:rPr>
        <w:t>ampliar los derechos del delator</w:t>
      </w:r>
      <w:r w:rsidRPr="00233C37">
        <w:rPr>
          <w:rFonts w:ascii="Book Antiqua" w:hAnsi="Book Antiqua"/>
          <w:lang w:val="es-ES_tradnl"/>
        </w:rPr>
        <w:t>; y para otros fines relacionados.</w:t>
      </w:r>
    </w:p>
    <w:p w14:paraId="4A1F1301" w14:textId="77777777" w:rsidR="00061884" w:rsidRPr="008D44BD" w:rsidRDefault="00061884" w:rsidP="00DF7481">
      <w:pPr>
        <w:ind w:left="360" w:hanging="360"/>
        <w:jc w:val="both"/>
        <w:rPr>
          <w:rFonts w:ascii="Book Antiqua" w:hAnsi="Book Antiqua"/>
          <w:sz w:val="16"/>
          <w:szCs w:val="16"/>
          <w:lang w:val="es-ES_tradnl"/>
        </w:rPr>
      </w:pPr>
    </w:p>
    <w:p w14:paraId="2528ECAD" w14:textId="77777777" w:rsidR="00061884" w:rsidRDefault="00061884" w:rsidP="00DF7481">
      <w:pPr>
        <w:ind w:firstLine="360"/>
        <w:jc w:val="center"/>
        <w:rPr>
          <w:rFonts w:ascii="Book Antiqua" w:hAnsi="Book Antiqua"/>
          <w:lang w:val="es-ES_tradnl"/>
        </w:rPr>
      </w:pPr>
      <w:r w:rsidRPr="009673F4">
        <w:rPr>
          <w:rFonts w:ascii="Book Antiqua" w:hAnsi="Book Antiqua"/>
          <w:lang w:val="es-ES_tradnl"/>
        </w:rPr>
        <w:t>EXPOSICIÓN DE MOTIVOS</w:t>
      </w:r>
    </w:p>
    <w:p w14:paraId="09F542A6" w14:textId="77777777" w:rsidR="00DF7481" w:rsidRPr="008D44BD" w:rsidRDefault="00DF7481" w:rsidP="00DF7481">
      <w:pPr>
        <w:ind w:firstLine="360"/>
        <w:jc w:val="center"/>
        <w:rPr>
          <w:rFonts w:ascii="Book Antiqua" w:hAnsi="Book Antiqua"/>
          <w:sz w:val="16"/>
          <w:szCs w:val="16"/>
          <w:lang w:val="es-ES_tradnl"/>
        </w:rPr>
      </w:pPr>
    </w:p>
    <w:p w14:paraId="7C3C2942" w14:textId="369A140F" w:rsidR="0030316E" w:rsidRDefault="002E1142" w:rsidP="00DF7481">
      <w:pPr>
        <w:ind w:firstLine="360"/>
        <w:jc w:val="both"/>
        <w:rPr>
          <w:rFonts w:ascii="Book Antiqua" w:hAnsi="Book Antiqua"/>
          <w:lang w:val="es-ES_tradnl"/>
        </w:rPr>
      </w:pPr>
      <w:r w:rsidRPr="002E1142">
        <w:rPr>
          <w:rFonts w:ascii="Book Antiqua" w:hAnsi="Book Antiqua"/>
          <w:lang w:val="es-ES_tradnl"/>
        </w:rPr>
        <w:t>Durante la Guerra Civil de</w:t>
      </w:r>
      <w:r w:rsidR="00747923">
        <w:rPr>
          <w:rFonts w:ascii="Book Antiqua" w:hAnsi="Book Antiqua"/>
          <w:lang w:val="es-ES_tradnl"/>
        </w:rPr>
        <w:t xml:space="preserve"> </w:t>
      </w:r>
      <w:r w:rsidRPr="002E1142">
        <w:rPr>
          <w:rFonts w:ascii="Book Antiqua" w:hAnsi="Book Antiqua"/>
          <w:lang w:val="es-ES_tradnl"/>
        </w:rPr>
        <w:t xml:space="preserve">Estados Unidos, el </w:t>
      </w:r>
      <w:r w:rsidR="00461521">
        <w:rPr>
          <w:rFonts w:ascii="Book Antiqua" w:hAnsi="Book Antiqua"/>
          <w:lang w:val="es-ES_tradnl"/>
        </w:rPr>
        <w:t>G</w:t>
      </w:r>
      <w:r w:rsidRPr="002E1142">
        <w:rPr>
          <w:rFonts w:ascii="Book Antiqua" w:hAnsi="Book Antiqua"/>
          <w:lang w:val="es-ES_tradnl"/>
        </w:rPr>
        <w:t>obierno experimentó un alza en fraudes contractuales entre la defensa de país y los contratistas.  El Ejército de la Unión era constantemente estafado mediante la compra de suministros militares falsos o inoperables, y a precios excesivos.  Para erradicar y prevenir esta problemática, el Congreso aprobó la Ley de Reclamos Falsos (</w:t>
      </w:r>
      <w:r w:rsidRPr="002E1142">
        <w:rPr>
          <w:rFonts w:ascii="Book Antiqua" w:hAnsi="Book Antiqua"/>
          <w:i/>
          <w:iCs/>
          <w:lang w:val="es-ES_tradnl"/>
        </w:rPr>
        <w:t xml:space="preserve">False </w:t>
      </w:r>
      <w:proofErr w:type="spellStart"/>
      <w:r w:rsidRPr="002E1142">
        <w:rPr>
          <w:rFonts w:ascii="Book Antiqua" w:hAnsi="Book Antiqua"/>
          <w:i/>
          <w:iCs/>
          <w:lang w:val="es-ES_tradnl"/>
        </w:rPr>
        <w:t>Claims</w:t>
      </w:r>
      <w:proofErr w:type="spellEnd"/>
      <w:r w:rsidRPr="002E1142">
        <w:rPr>
          <w:rFonts w:ascii="Book Antiqua" w:hAnsi="Book Antiqua"/>
          <w:i/>
          <w:iCs/>
          <w:lang w:val="es-ES_tradnl"/>
        </w:rPr>
        <w:t xml:space="preserve"> </w:t>
      </w:r>
      <w:proofErr w:type="spellStart"/>
      <w:r w:rsidRPr="002E1142">
        <w:rPr>
          <w:rFonts w:ascii="Book Antiqua" w:hAnsi="Book Antiqua"/>
          <w:i/>
          <w:iCs/>
          <w:lang w:val="es-ES_tradnl"/>
        </w:rPr>
        <w:t>Act</w:t>
      </w:r>
      <w:proofErr w:type="spellEnd"/>
      <w:r w:rsidRPr="002E1142">
        <w:rPr>
          <w:rFonts w:ascii="Book Antiqua" w:hAnsi="Book Antiqua"/>
          <w:lang w:val="es-ES_tradnl"/>
        </w:rPr>
        <w:t xml:space="preserve"> o </w:t>
      </w:r>
      <w:r w:rsidRPr="002E1142">
        <w:rPr>
          <w:rFonts w:ascii="Book Antiqua" w:hAnsi="Book Antiqua"/>
          <w:i/>
          <w:iCs/>
          <w:lang w:val="es-ES_tradnl"/>
        </w:rPr>
        <w:t>FCA</w:t>
      </w:r>
      <w:r w:rsidRPr="002E1142">
        <w:rPr>
          <w:rFonts w:ascii="Book Antiqua" w:hAnsi="Book Antiqua"/>
          <w:lang w:val="es-ES_tradnl"/>
        </w:rPr>
        <w:t xml:space="preserve">) en el 1863.  En términos generales, esta </w:t>
      </w:r>
      <w:r w:rsidR="00461521">
        <w:rPr>
          <w:rFonts w:ascii="Book Antiqua" w:hAnsi="Book Antiqua"/>
          <w:lang w:val="es-ES_tradnl"/>
        </w:rPr>
        <w:t>L</w:t>
      </w:r>
      <w:r w:rsidRPr="002E1142">
        <w:rPr>
          <w:rFonts w:ascii="Book Antiqua" w:hAnsi="Book Antiqua"/>
          <w:lang w:val="es-ES_tradnl"/>
        </w:rPr>
        <w:t xml:space="preserve">ey permite entablar acciones civiles contra partes privadas que hayan estafado al </w:t>
      </w:r>
      <w:r w:rsidR="00747923">
        <w:rPr>
          <w:rFonts w:ascii="Book Antiqua" w:hAnsi="Book Antiqua"/>
          <w:lang w:val="es-ES_tradnl"/>
        </w:rPr>
        <w:t>G</w:t>
      </w:r>
      <w:r w:rsidRPr="002E1142">
        <w:rPr>
          <w:rFonts w:ascii="Book Antiqua" w:hAnsi="Book Antiqua"/>
          <w:lang w:val="es-ES_tradnl"/>
        </w:rPr>
        <w:t xml:space="preserve">obierno </w:t>
      </w:r>
      <w:r w:rsidR="00747923">
        <w:rPr>
          <w:rFonts w:ascii="Book Antiqua" w:hAnsi="Book Antiqua"/>
          <w:lang w:val="es-ES_tradnl"/>
        </w:rPr>
        <w:t>F</w:t>
      </w:r>
      <w:r w:rsidRPr="002E1142">
        <w:rPr>
          <w:rFonts w:ascii="Book Antiqua" w:hAnsi="Book Antiqua"/>
          <w:lang w:val="es-ES_tradnl"/>
        </w:rPr>
        <w:t xml:space="preserve">ederal.  El estatuto dispone, entre otras cosas, que será ilegal que una persona presente –o cause que otra presente– reclamaciones falsas o fraudulentas para recibir un pago por parte del </w:t>
      </w:r>
      <w:r w:rsidR="00461521">
        <w:rPr>
          <w:rFonts w:ascii="Book Antiqua" w:hAnsi="Book Antiqua"/>
          <w:lang w:val="es-ES_tradnl"/>
        </w:rPr>
        <w:t>G</w:t>
      </w:r>
      <w:r w:rsidRPr="002E1142">
        <w:rPr>
          <w:rFonts w:ascii="Book Antiqua" w:hAnsi="Book Antiqua"/>
          <w:lang w:val="es-ES_tradnl"/>
        </w:rPr>
        <w:t xml:space="preserve">obierno.  Asimismo, se penaliza el que una persona actúe de forma impropia con la finalidad de evitar retribuirle al </w:t>
      </w:r>
      <w:r w:rsidR="00461521">
        <w:rPr>
          <w:rFonts w:ascii="Book Antiqua" w:hAnsi="Book Antiqua"/>
          <w:lang w:val="es-ES_tradnl"/>
        </w:rPr>
        <w:t>G</w:t>
      </w:r>
      <w:r w:rsidRPr="002E1142">
        <w:rPr>
          <w:rFonts w:ascii="Book Antiqua" w:hAnsi="Book Antiqua"/>
          <w:lang w:val="es-ES_tradnl"/>
        </w:rPr>
        <w:t xml:space="preserve">obierno lo que le debe.  Las personas halladas culpables son responsables por tres veces la cantidad del fraude, y por penalidades civiles entre $5,000.00 y $10,000.00 por cada violación. </w:t>
      </w:r>
    </w:p>
    <w:p w14:paraId="6F43945B" w14:textId="2B07B912" w:rsidR="002E1142" w:rsidRPr="008D44BD" w:rsidRDefault="002E1142" w:rsidP="0030316E">
      <w:pPr>
        <w:jc w:val="both"/>
        <w:rPr>
          <w:rFonts w:ascii="Book Antiqua" w:hAnsi="Book Antiqua"/>
          <w:sz w:val="16"/>
          <w:szCs w:val="16"/>
          <w:lang w:val="es-ES_tradnl"/>
        </w:rPr>
      </w:pPr>
      <w:r w:rsidRPr="002E1142">
        <w:rPr>
          <w:rFonts w:ascii="Book Antiqua" w:hAnsi="Book Antiqua"/>
          <w:lang w:val="es-ES_tradnl"/>
        </w:rPr>
        <w:t xml:space="preserve"> </w:t>
      </w:r>
    </w:p>
    <w:p w14:paraId="0E9F5FD9" w14:textId="39FFF93E" w:rsidR="002E1142" w:rsidRDefault="002E1142" w:rsidP="0030316E">
      <w:pPr>
        <w:ind w:firstLine="360"/>
        <w:jc w:val="both"/>
        <w:rPr>
          <w:rFonts w:ascii="Book Antiqua" w:hAnsi="Book Antiqua"/>
          <w:lang w:val="es-ES_tradnl"/>
        </w:rPr>
      </w:pPr>
      <w:r w:rsidRPr="002E1142">
        <w:rPr>
          <w:rFonts w:ascii="Book Antiqua" w:hAnsi="Book Antiqua"/>
          <w:lang w:val="es-ES_tradnl"/>
        </w:rPr>
        <w:t xml:space="preserve">Uno de los aspectos fundamentales de esta </w:t>
      </w:r>
      <w:r w:rsidR="00461521">
        <w:rPr>
          <w:rFonts w:ascii="Book Antiqua" w:hAnsi="Book Antiqua"/>
          <w:lang w:val="es-ES_tradnl"/>
        </w:rPr>
        <w:t>L</w:t>
      </w:r>
      <w:r w:rsidRPr="002E1142">
        <w:rPr>
          <w:rFonts w:ascii="Book Antiqua" w:hAnsi="Book Antiqua"/>
          <w:lang w:val="es-ES_tradnl"/>
        </w:rPr>
        <w:t xml:space="preserve">ey es que permite que tanto el Departamento de Justicia como personas privadas con conocimiento del fraude, presenten la acción judicial en representación del </w:t>
      </w:r>
      <w:r w:rsidR="00461521">
        <w:rPr>
          <w:rFonts w:ascii="Book Antiqua" w:hAnsi="Book Antiqua"/>
          <w:lang w:val="es-ES_tradnl"/>
        </w:rPr>
        <w:t>G</w:t>
      </w:r>
      <w:r w:rsidRPr="002E1142">
        <w:rPr>
          <w:rFonts w:ascii="Book Antiqua" w:hAnsi="Book Antiqua"/>
          <w:lang w:val="es-ES_tradnl"/>
        </w:rPr>
        <w:t>obierno</w:t>
      </w:r>
      <w:r w:rsidR="00814CF6">
        <w:rPr>
          <w:rFonts w:ascii="Book Antiqua" w:hAnsi="Book Antiqua"/>
          <w:lang w:val="es-ES_tradnl"/>
        </w:rPr>
        <w:t>. Esto se conoce como una</w:t>
      </w:r>
      <w:r w:rsidRPr="002E1142">
        <w:rPr>
          <w:rFonts w:ascii="Book Antiqua" w:hAnsi="Book Antiqua"/>
          <w:lang w:val="es-ES_tradnl"/>
        </w:rPr>
        <w:t xml:space="preserve"> acción </w:t>
      </w:r>
      <w:r w:rsidRPr="002E1142">
        <w:rPr>
          <w:rFonts w:ascii="Book Antiqua" w:hAnsi="Book Antiqua"/>
          <w:i/>
          <w:iCs/>
          <w:lang w:val="es-ES_tradnl"/>
        </w:rPr>
        <w:t xml:space="preserve">Qui </w:t>
      </w:r>
      <w:proofErr w:type="spellStart"/>
      <w:r w:rsidRPr="002E1142">
        <w:rPr>
          <w:rFonts w:ascii="Book Antiqua" w:hAnsi="Book Antiqua"/>
          <w:i/>
          <w:iCs/>
          <w:lang w:val="es-ES_tradnl"/>
        </w:rPr>
        <w:t>Tam</w:t>
      </w:r>
      <w:proofErr w:type="spellEnd"/>
      <w:r w:rsidRPr="002E1142">
        <w:rPr>
          <w:rFonts w:ascii="Book Antiqua" w:hAnsi="Book Antiqua"/>
          <w:lang w:val="es-ES_tradnl"/>
        </w:rPr>
        <w:t xml:space="preserve">.  En otras palabras, el </w:t>
      </w:r>
      <w:r w:rsidR="00461521">
        <w:rPr>
          <w:rFonts w:ascii="Book Antiqua" w:hAnsi="Book Antiqua"/>
          <w:lang w:val="es-ES_tradnl"/>
        </w:rPr>
        <w:t>G</w:t>
      </w:r>
      <w:r w:rsidRPr="002E1142">
        <w:rPr>
          <w:rFonts w:ascii="Book Antiqua" w:hAnsi="Book Antiqua"/>
          <w:lang w:val="es-ES_tradnl"/>
        </w:rPr>
        <w:t xml:space="preserve">obierno permite la asistencia directa de personas privadas para </w:t>
      </w:r>
      <w:r w:rsidRPr="00233C37">
        <w:rPr>
          <w:rFonts w:ascii="Book Antiqua" w:hAnsi="Book Antiqua"/>
          <w:lang w:val="es-ES_tradnl"/>
        </w:rPr>
        <w:t xml:space="preserve">recobrar daños o hacer cumplir penalidades establecidas bajo un estatuto que prohíbe determinada conducta.  La persona privada presenta la acción en representación del </w:t>
      </w:r>
      <w:r w:rsidR="00814CF6" w:rsidRPr="00233C37">
        <w:rPr>
          <w:rFonts w:ascii="Book Antiqua" w:hAnsi="Book Antiqua"/>
          <w:lang w:val="es-ES_tradnl"/>
        </w:rPr>
        <w:t>G</w:t>
      </w:r>
      <w:r w:rsidRPr="00233C37">
        <w:rPr>
          <w:rFonts w:ascii="Book Antiqua" w:hAnsi="Book Antiqua"/>
          <w:lang w:val="es-ES_tradnl"/>
        </w:rPr>
        <w:t>obierno</w:t>
      </w:r>
      <w:r w:rsidR="00814CF6" w:rsidRPr="00233C37">
        <w:rPr>
          <w:rFonts w:ascii="Book Antiqua" w:hAnsi="Book Antiqua"/>
          <w:lang w:val="es-ES_tradnl"/>
        </w:rPr>
        <w:t xml:space="preserve"> y de sus propios intereses.</w:t>
      </w:r>
      <w:r w:rsidRPr="00233C37">
        <w:rPr>
          <w:rFonts w:ascii="Book Antiqua" w:hAnsi="Book Antiqua"/>
          <w:lang w:val="es-ES_tradnl"/>
        </w:rPr>
        <w:t xml:space="preserve">  Esto, pues la parte</w:t>
      </w:r>
      <w:r w:rsidR="00076CE0" w:rsidRPr="00233C37">
        <w:rPr>
          <w:rFonts w:ascii="Book Antiqua" w:hAnsi="Book Antiqua"/>
          <w:lang w:val="es-ES_tradnl"/>
        </w:rPr>
        <w:t xml:space="preserve"> promovente</w:t>
      </w:r>
      <w:r w:rsidRPr="00233C37">
        <w:rPr>
          <w:rFonts w:ascii="Book Antiqua" w:hAnsi="Book Antiqua"/>
          <w:lang w:val="es-ES_tradnl"/>
        </w:rPr>
        <w:t xml:space="preserve"> comparte cualquier recuperación monetaria con el </w:t>
      </w:r>
      <w:r w:rsidR="00814CF6" w:rsidRPr="00233C37">
        <w:rPr>
          <w:rFonts w:ascii="Book Antiqua" w:hAnsi="Book Antiqua"/>
          <w:lang w:val="es-ES_tradnl"/>
        </w:rPr>
        <w:t>G</w:t>
      </w:r>
      <w:r w:rsidRPr="00233C37">
        <w:rPr>
          <w:rFonts w:ascii="Book Antiqua" w:hAnsi="Book Antiqua"/>
          <w:lang w:val="es-ES_tradnl"/>
        </w:rPr>
        <w:t>obierno. En el caso de la FCA, el delator o delatora t</w:t>
      </w:r>
      <w:r w:rsidR="005C621F" w:rsidRPr="00233C37">
        <w:rPr>
          <w:rFonts w:ascii="Book Antiqua" w:hAnsi="Book Antiqua"/>
          <w:lang w:val="es-ES_tradnl"/>
        </w:rPr>
        <w:t>iene</w:t>
      </w:r>
      <w:r w:rsidRPr="00233C37">
        <w:rPr>
          <w:rFonts w:ascii="Book Antiqua" w:hAnsi="Book Antiqua"/>
          <w:lang w:val="es-ES_tradnl"/>
        </w:rPr>
        <w:t xml:space="preserve"> derecho a una porción de la recuperación monetaria que usualmente oscila entre el 15% y 30% de la</w:t>
      </w:r>
      <w:r w:rsidR="009047C6" w:rsidRPr="00233C37">
        <w:rPr>
          <w:rFonts w:ascii="Book Antiqua" w:hAnsi="Book Antiqua"/>
          <w:lang w:val="es-ES_tradnl"/>
        </w:rPr>
        <w:t xml:space="preserve"> cuantía recuperada</w:t>
      </w:r>
      <w:r w:rsidRPr="00233C37">
        <w:rPr>
          <w:rFonts w:ascii="Book Antiqua" w:hAnsi="Book Antiqua"/>
          <w:lang w:val="es-ES_tradnl"/>
        </w:rPr>
        <w:t xml:space="preserve">.  Dicha compensación está relacionada a la intervención del </w:t>
      </w:r>
      <w:r w:rsidR="00814CF6" w:rsidRPr="00233C37">
        <w:rPr>
          <w:rFonts w:ascii="Book Antiqua" w:hAnsi="Book Antiqua"/>
          <w:lang w:val="es-ES_tradnl"/>
        </w:rPr>
        <w:t>G</w:t>
      </w:r>
      <w:r w:rsidRPr="00233C37">
        <w:rPr>
          <w:rFonts w:ascii="Book Antiqua" w:hAnsi="Book Antiqua"/>
          <w:lang w:val="es-ES_tradnl"/>
        </w:rPr>
        <w:t>obierno y a la importancia de la participación del delator en el proceso.</w:t>
      </w:r>
      <w:r w:rsidRPr="002E1142">
        <w:rPr>
          <w:rFonts w:ascii="Book Antiqua" w:hAnsi="Book Antiqua"/>
          <w:lang w:val="es-ES_tradnl"/>
        </w:rPr>
        <w:t xml:space="preserve"> </w:t>
      </w:r>
    </w:p>
    <w:p w14:paraId="5A383F7F" w14:textId="77777777" w:rsidR="0030316E" w:rsidRPr="008D44BD" w:rsidRDefault="0030316E" w:rsidP="0030316E">
      <w:pPr>
        <w:jc w:val="both"/>
        <w:rPr>
          <w:rFonts w:ascii="Book Antiqua" w:hAnsi="Book Antiqua"/>
          <w:sz w:val="16"/>
          <w:szCs w:val="16"/>
          <w:lang w:val="es-ES_tradnl"/>
        </w:rPr>
      </w:pPr>
    </w:p>
    <w:p w14:paraId="50EB0E30" w14:textId="33FEBAF0" w:rsidR="00FC6916" w:rsidRPr="00233C37" w:rsidRDefault="002E1142" w:rsidP="0030316E">
      <w:pPr>
        <w:ind w:firstLine="360"/>
        <w:jc w:val="both"/>
        <w:rPr>
          <w:rFonts w:ascii="Book Antiqua" w:hAnsi="Book Antiqua"/>
          <w:lang w:val="es-ES_tradnl"/>
        </w:rPr>
      </w:pPr>
      <w:r w:rsidRPr="002E1142">
        <w:rPr>
          <w:rFonts w:ascii="Book Antiqua" w:hAnsi="Book Antiqua"/>
          <w:lang w:val="es-ES_tradnl"/>
        </w:rPr>
        <w:t xml:space="preserve">Así pues, el propósito de esta </w:t>
      </w:r>
      <w:r w:rsidR="00461521">
        <w:rPr>
          <w:rFonts w:ascii="Book Antiqua" w:hAnsi="Book Antiqua"/>
          <w:lang w:val="es-ES_tradnl"/>
        </w:rPr>
        <w:t>L</w:t>
      </w:r>
      <w:r w:rsidRPr="002E1142">
        <w:rPr>
          <w:rFonts w:ascii="Book Antiqua" w:hAnsi="Book Antiqua"/>
          <w:lang w:val="es-ES_tradnl"/>
        </w:rPr>
        <w:t xml:space="preserve">ey es prevenir el fraude gubernamental e incentivar que las personas lo denuncien.  Se estima que el 64% de todas las recuperaciones exitosas por parte del </w:t>
      </w:r>
      <w:r w:rsidR="00461521">
        <w:rPr>
          <w:rFonts w:ascii="Book Antiqua" w:hAnsi="Book Antiqua"/>
          <w:lang w:val="es-ES_tradnl"/>
        </w:rPr>
        <w:t>G</w:t>
      </w:r>
      <w:r w:rsidRPr="002E1142">
        <w:rPr>
          <w:rFonts w:ascii="Book Antiqua" w:hAnsi="Book Antiqua"/>
          <w:lang w:val="es-ES_tradnl"/>
        </w:rPr>
        <w:t>obierno provienen de acciones</w:t>
      </w:r>
      <w:r w:rsidR="005C621F">
        <w:rPr>
          <w:rFonts w:ascii="Book Antiqua" w:hAnsi="Book Antiqua"/>
          <w:lang w:val="es-ES_tradnl"/>
        </w:rPr>
        <w:t xml:space="preserve"> presentadas por</w:t>
      </w:r>
      <w:r w:rsidRPr="002E1142">
        <w:rPr>
          <w:rFonts w:ascii="Book Antiqua" w:hAnsi="Book Antiqua"/>
          <w:lang w:val="es-ES_tradnl"/>
        </w:rPr>
        <w:t xml:space="preserve"> personas privadas bajo la </w:t>
      </w:r>
      <w:r w:rsidRPr="00153728">
        <w:rPr>
          <w:rFonts w:ascii="Book Antiqua" w:hAnsi="Book Antiqua"/>
          <w:i/>
          <w:iCs/>
          <w:lang w:val="es-ES_tradnl"/>
        </w:rPr>
        <w:t>FCA</w:t>
      </w:r>
      <w:r w:rsidRPr="002E1142">
        <w:rPr>
          <w:rFonts w:ascii="Book Antiqua" w:hAnsi="Book Antiqua"/>
          <w:lang w:val="es-ES_tradnl"/>
        </w:rPr>
        <w:t xml:space="preserve">. </w:t>
      </w:r>
      <w:r w:rsidR="00FC6916" w:rsidRPr="002E1142">
        <w:rPr>
          <w:rFonts w:ascii="Book Antiqua" w:hAnsi="Book Antiqua"/>
          <w:lang w:val="es-ES_tradnl"/>
        </w:rPr>
        <w:t xml:space="preserve">En Estados Unidos se ha determinado que </w:t>
      </w:r>
      <w:r w:rsidR="00FC6916">
        <w:rPr>
          <w:rFonts w:ascii="Book Antiqua" w:hAnsi="Book Antiqua"/>
          <w:lang w:val="es-ES_tradnl"/>
        </w:rPr>
        <w:t xml:space="preserve">estas acciones </w:t>
      </w:r>
      <w:r w:rsidR="00FC6916" w:rsidRPr="002E1142">
        <w:rPr>
          <w:rFonts w:ascii="Book Antiqua" w:hAnsi="Book Antiqua"/>
          <w:lang w:val="es-ES_tradnl"/>
        </w:rPr>
        <w:t xml:space="preserve">tienen el potencial de ahorrarle al </w:t>
      </w:r>
      <w:r w:rsidR="00461521">
        <w:rPr>
          <w:rFonts w:ascii="Book Antiqua" w:hAnsi="Book Antiqua"/>
          <w:lang w:val="es-ES_tradnl"/>
        </w:rPr>
        <w:t>G</w:t>
      </w:r>
      <w:r w:rsidR="00FC6916" w:rsidRPr="002E1142">
        <w:rPr>
          <w:rFonts w:ascii="Book Antiqua" w:hAnsi="Book Antiqua"/>
          <w:lang w:val="es-ES_tradnl"/>
        </w:rPr>
        <w:t xml:space="preserve">obierno </w:t>
      </w:r>
      <w:r w:rsidR="00461521">
        <w:rPr>
          <w:rFonts w:ascii="Book Antiqua" w:hAnsi="Book Antiqua"/>
          <w:lang w:val="es-ES_tradnl"/>
        </w:rPr>
        <w:t>F</w:t>
      </w:r>
      <w:r w:rsidR="00FC6916" w:rsidRPr="002E1142">
        <w:rPr>
          <w:rFonts w:ascii="Book Antiqua" w:hAnsi="Book Antiqua"/>
          <w:lang w:val="es-ES_tradnl"/>
        </w:rPr>
        <w:t>ederal billones de dólares</w:t>
      </w:r>
      <w:r w:rsidR="00FC6916">
        <w:rPr>
          <w:rFonts w:ascii="Book Antiqua" w:hAnsi="Book Antiqua"/>
          <w:lang w:val="es-ES_tradnl"/>
        </w:rPr>
        <w:t xml:space="preserve">. </w:t>
      </w:r>
      <w:r w:rsidR="00AE5985">
        <w:rPr>
          <w:rFonts w:ascii="Book Antiqua" w:hAnsi="Book Antiqua"/>
          <w:lang w:val="es-ES_tradnl"/>
        </w:rPr>
        <w:t>A modo de ejemplo, para el 2012 la compañía de productos farmacéuticos y de salud Glaxo</w:t>
      </w:r>
      <w:r w:rsidR="00AC15A1">
        <w:rPr>
          <w:rFonts w:ascii="Book Antiqua" w:hAnsi="Book Antiqua"/>
          <w:lang w:val="es-ES_tradnl"/>
        </w:rPr>
        <w:t>SmithKline</w:t>
      </w:r>
      <w:r w:rsidR="00461521">
        <w:rPr>
          <w:rFonts w:ascii="Book Antiqua" w:hAnsi="Book Antiqua"/>
          <w:lang w:val="es-ES_tradnl"/>
        </w:rPr>
        <w:t>,</w:t>
      </w:r>
      <w:r w:rsidR="00AC15A1">
        <w:rPr>
          <w:rFonts w:ascii="Book Antiqua" w:hAnsi="Book Antiqua"/>
          <w:lang w:val="es-ES_tradnl"/>
        </w:rPr>
        <w:t xml:space="preserve"> </w:t>
      </w:r>
      <w:proofErr w:type="gramStart"/>
      <w:r w:rsidR="003C040B">
        <w:rPr>
          <w:rFonts w:ascii="Book Antiqua" w:hAnsi="Book Antiqua"/>
          <w:lang w:val="es-ES_tradnl"/>
        </w:rPr>
        <w:t>vino obligada</w:t>
      </w:r>
      <w:proofErr w:type="gramEnd"/>
      <w:r w:rsidR="003C040B">
        <w:rPr>
          <w:rFonts w:ascii="Book Antiqua" w:hAnsi="Book Antiqua"/>
          <w:lang w:val="es-ES_tradnl"/>
        </w:rPr>
        <w:t xml:space="preserve"> a</w:t>
      </w:r>
      <w:r w:rsidR="005A270C">
        <w:rPr>
          <w:rFonts w:ascii="Book Antiqua" w:hAnsi="Book Antiqua"/>
          <w:lang w:val="es-ES_tradnl"/>
        </w:rPr>
        <w:t xml:space="preserve"> </w:t>
      </w:r>
      <w:r w:rsidR="00B51857">
        <w:rPr>
          <w:rFonts w:ascii="Book Antiqua" w:hAnsi="Book Antiqua"/>
          <w:lang w:val="es-ES_tradnl"/>
        </w:rPr>
        <w:t>pagarle al</w:t>
      </w:r>
      <w:r w:rsidR="005A270C">
        <w:rPr>
          <w:rFonts w:ascii="Book Antiqua" w:hAnsi="Book Antiqua"/>
          <w:lang w:val="es-ES_tradnl"/>
        </w:rPr>
        <w:t xml:space="preserve"> </w:t>
      </w:r>
      <w:r w:rsidR="00461521">
        <w:rPr>
          <w:rFonts w:ascii="Book Antiqua" w:hAnsi="Book Antiqua"/>
          <w:lang w:val="es-ES_tradnl"/>
        </w:rPr>
        <w:t>G</w:t>
      </w:r>
      <w:r w:rsidR="005A270C">
        <w:rPr>
          <w:rFonts w:ascii="Book Antiqua" w:hAnsi="Book Antiqua"/>
          <w:lang w:val="es-ES_tradnl"/>
        </w:rPr>
        <w:t xml:space="preserve">obierno </w:t>
      </w:r>
      <w:r w:rsidR="00B501BB">
        <w:rPr>
          <w:rFonts w:ascii="Book Antiqua" w:hAnsi="Book Antiqua"/>
          <w:lang w:val="es-ES_tradnl"/>
        </w:rPr>
        <w:t>tres billones</w:t>
      </w:r>
      <w:r w:rsidR="005A270C">
        <w:rPr>
          <w:rFonts w:ascii="Book Antiqua" w:hAnsi="Book Antiqua"/>
          <w:lang w:val="es-ES_tradnl"/>
        </w:rPr>
        <w:t xml:space="preserve"> de dólares</w:t>
      </w:r>
      <w:r w:rsidR="003D549F">
        <w:rPr>
          <w:rFonts w:ascii="Book Antiqua" w:hAnsi="Book Antiqua"/>
          <w:lang w:val="es-ES_tradnl"/>
        </w:rPr>
        <w:t xml:space="preserve"> por alegaciones bajo el </w:t>
      </w:r>
      <w:r w:rsidR="003D549F" w:rsidRPr="002E1142">
        <w:rPr>
          <w:rFonts w:ascii="Book Antiqua" w:hAnsi="Book Antiqua"/>
          <w:i/>
          <w:iCs/>
          <w:lang w:val="es-ES_tradnl"/>
        </w:rPr>
        <w:t xml:space="preserve">False </w:t>
      </w:r>
      <w:proofErr w:type="spellStart"/>
      <w:r w:rsidR="003D549F" w:rsidRPr="002E1142">
        <w:rPr>
          <w:rFonts w:ascii="Book Antiqua" w:hAnsi="Book Antiqua"/>
          <w:i/>
          <w:iCs/>
          <w:lang w:val="es-ES_tradnl"/>
        </w:rPr>
        <w:t>Claims</w:t>
      </w:r>
      <w:proofErr w:type="spellEnd"/>
      <w:r w:rsidR="003D549F" w:rsidRPr="002E1142">
        <w:rPr>
          <w:rFonts w:ascii="Book Antiqua" w:hAnsi="Book Antiqua"/>
          <w:i/>
          <w:iCs/>
          <w:lang w:val="es-ES_tradnl"/>
        </w:rPr>
        <w:t xml:space="preserve"> </w:t>
      </w:r>
      <w:proofErr w:type="spellStart"/>
      <w:r w:rsidR="003D549F" w:rsidRPr="002E1142">
        <w:rPr>
          <w:rFonts w:ascii="Book Antiqua" w:hAnsi="Book Antiqua"/>
          <w:i/>
          <w:iCs/>
          <w:lang w:val="es-ES_tradnl"/>
        </w:rPr>
        <w:t>Act</w:t>
      </w:r>
      <w:proofErr w:type="spellEnd"/>
      <w:r w:rsidR="003D549F">
        <w:rPr>
          <w:rFonts w:ascii="Book Antiqua" w:hAnsi="Book Antiqua"/>
          <w:lang w:val="es-ES_tradnl"/>
        </w:rPr>
        <w:t xml:space="preserve">. En </w:t>
      </w:r>
      <w:r w:rsidR="003D549F">
        <w:rPr>
          <w:rFonts w:ascii="Book Antiqua" w:hAnsi="Book Antiqua"/>
          <w:lang w:val="es-ES_tradnl"/>
        </w:rPr>
        <w:lastRenderedPageBreak/>
        <w:t xml:space="preserve">términos </w:t>
      </w:r>
      <w:r w:rsidR="003D549F" w:rsidRPr="00233C37">
        <w:rPr>
          <w:rFonts w:ascii="Book Antiqua" w:hAnsi="Book Antiqua"/>
          <w:lang w:val="es-ES_tradnl"/>
        </w:rPr>
        <w:t xml:space="preserve">generales, la compañía fomentó el uso no </w:t>
      </w:r>
      <w:r w:rsidR="003C040B" w:rsidRPr="00233C37">
        <w:rPr>
          <w:rFonts w:ascii="Book Antiqua" w:hAnsi="Book Antiqua"/>
          <w:lang w:val="es-ES_tradnl"/>
        </w:rPr>
        <w:t xml:space="preserve">determinado </w:t>
      </w:r>
      <w:r w:rsidR="003D549F" w:rsidRPr="00233C37">
        <w:rPr>
          <w:rFonts w:ascii="Book Antiqua" w:hAnsi="Book Antiqua"/>
          <w:lang w:val="es-ES_tradnl"/>
        </w:rPr>
        <w:t xml:space="preserve">de </w:t>
      </w:r>
      <w:r w:rsidR="003C040B" w:rsidRPr="00233C37">
        <w:rPr>
          <w:rFonts w:ascii="Book Antiqua" w:hAnsi="Book Antiqua"/>
          <w:lang w:val="es-ES_tradnl"/>
        </w:rPr>
        <w:t>ciertos medicamentos</w:t>
      </w:r>
      <w:r w:rsidR="00182FE7" w:rsidRPr="00233C37">
        <w:rPr>
          <w:rFonts w:ascii="Book Antiqua" w:hAnsi="Book Antiqua"/>
          <w:lang w:val="es-ES_tradnl"/>
        </w:rPr>
        <w:t xml:space="preserve">, compensó </w:t>
      </w:r>
      <w:r w:rsidR="003C040B" w:rsidRPr="00233C37">
        <w:rPr>
          <w:rFonts w:ascii="Book Antiqua" w:hAnsi="Book Antiqua"/>
          <w:lang w:val="es-ES_tradnl"/>
        </w:rPr>
        <w:t xml:space="preserve">económicamente </w:t>
      </w:r>
      <w:r w:rsidR="00182FE7" w:rsidRPr="00233C37">
        <w:rPr>
          <w:rFonts w:ascii="Book Antiqua" w:hAnsi="Book Antiqua"/>
          <w:lang w:val="es-ES_tradnl"/>
        </w:rPr>
        <w:t xml:space="preserve">a doctores por prescribir dichos </w:t>
      </w:r>
      <w:r w:rsidR="003C040B" w:rsidRPr="00233C37">
        <w:rPr>
          <w:rFonts w:ascii="Book Antiqua" w:hAnsi="Book Antiqua"/>
          <w:lang w:val="es-ES_tradnl"/>
        </w:rPr>
        <w:t>fármacos</w:t>
      </w:r>
      <w:r w:rsidR="00182FE7" w:rsidRPr="00233C37">
        <w:rPr>
          <w:rFonts w:ascii="Book Antiqua" w:hAnsi="Book Antiqua"/>
          <w:lang w:val="es-ES_tradnl"/>
        </w:rPr>
        <w:t xml:space="preserve">, realizó declaraciones falsas y engañosas </w:t>
      </w:r>
      <w:r w:rsidR="003C040B" w:rsidRPr="00233C37">
        <w:rPr>
          <w:rFonts w:ascii="Book Antiqua" w:hAnsi="Book Antiqua"/>
          <w:lang w:val="es-ES_tradnl"/>
        </w:rPr>
        <w:t>sobre</w:t>
      </w:r>
      <w:r w:rsidR="00182FE7" w:rsidRPr="00233C37">
        <w:rPr>
          <w:rFonts w:ascii="Book Antiqua" w:hAnsi="Book Antiqua"/>
          <w:lang w:val="es-ES_tradnl"/>
        </w:rPr>
        <w:t xml:space="preserve"> la seguridad de la droga </w:t>
      </w:r>
      <w:proofErr w:type="spellStart"/>
      <w:r w:rsidR="00182FE7" w:rsidRPr="00233C37">
        <w:rPr>
          <w:rFonts w:ascii="Book Antiqua" w:hAnsi="Book Antiqua"/>
          <w:lang w:val="es-ES_tradnl"/>
        </w:rPr>
        <w:t>Avandia</w:t>
      </w:r>
      <w:proofErr w:type="spellEnd"/>
      <w:r w:rsidR="00182FE7" w:rsidRPr="00233C37">
        <w:rPr>
          <w:rFonts w:ascii="Book Antiqua" w:hAnsi="Book Antiqua"/>
          <w:lang w:val="es-ES_tradnl"/>
        </w:rPr>
        <w:t xml:space="preserve"> y r</w:t>
      </w:r>
      <w:r w:rsidR="00E154C8" w:rsidRPr="00233C37">
        <w:rPr>
          <w:rFonts w:ascii="Book Antiqua" w:hAnsi="Book Antiqua"/>
          <w:lang w:val="es-ES_tradnl"/>
        </w:rPr>
        <w:t xml:space="preserve">eportó </w:t>
      </w:r>
      <w:r w:rsidR="00893602" w:rsidRPr="00233C37">
        <w:rPr>
          <w:rFonts w:ascii="Book Antiqua" w:hAnsi="Book Antiqua"/>
          <w:lang w:val="es-ES_tradnl"/>
        </w:rPr>
        <w:t>precios de medicamentos falsos con la finalidad de</w:t>
      </w:r>
      <w:r w:rsidR="00FA2487" w:rsidRPr="00233C37">
        <w:rPr>
          <w:rFonts w:ascii="Book Antiqua" w:hAnsi="Book Antiqua"/>
          <w:lang w:val="es-ES_tradnl"/>
        </w:rPr>
        <w:t xml:space="preserve"> cobrarle</w:t>
      </w:r>
      <w:r w:rsidR="00893602" w:rsidRPr="00233C37">
        <w:rPr>
          <w:rFonts w:ascii="Book Antiqua" w:hAnsi="Book Antiqua"/>
          <w:lang w:val="es-ES_tradnl"/>
        </w:rPr>
        <w:t xml:space="preserve"> más</w:t>
      </w:r>
      <w:r w:rsidR="00FA2487" w:rsidRPr="00233C37">
        <w:rPr>
          <w:rFonts w:ascii="Book Antiqua" w:hAnsi="Book Antiqua"/>
          <w:lang w:val="es-ES_tradnl"/>
        </w:rPr>
        <w:t xml:space="preserve"> al Medicaid. </w:t>
      </w:r>
      <w:r w:rsidR="003C040B" w:rsidRPr="00233C37">
        <w:rPr>
          <w:rFonts w:ascii="Book Antiqua" w:hAnsi="Book Antiqua"/>
          <w:lang w:val="es-ES_tradnl"/>
        </w:rPr>
        <w:t>Por otra parte</w:t>
      </w:r>
      <w:r w:rsidR="00893602" w:rsidRPr="00233C37">
        <w:rPr>
          <w:rFonts w:ascii="Book Antiqua" w:hAnsi="Book Antiqua"/>
          <w:lang w:val="es-ES_tradnl"/>
        </w:rPr>
        <w:t xml:space="preserve">, para el 2014 el </w:t>
      </w:r>
      <w:r w:rsidR="00461521">
        <w:rPr>
          <w:rFonts w:ascii="Book Antiqua" w:hAnsi="Book Antiqua"/>
          <w:lang w:val="es-ES_tradnl"/>
        </w:rPr>
        <w:t>G</w:t>
      </w:r>
      <w:r w:rsidR="00893602" w:rsidRPr="00233C37">
        <w:rPr>
          <w:rFonts w:ascii="Book Antiqua" w:hAnsi="Book Antiqua"/>
          <w:lang w:val="es-ES_tradnl"/>
        </w:rPr>
        <w:t xml:space="preserve">obierno </w:t>
      </w:r>
      <w:r w:rsidR="00461521">
        <w:rPr>
          <w:rFonts w:ascii="Book Antiqua" w:hAnsi="Book Antiqua"/>
          <w:lang w:val="es-ES_tradnl"/>
        </w:rPr>
        <w:t>F</w:t>
      </w:r>
      <w:r w:rsidR="00893602" w:rsidRPr="00233C37">
        <w:rPr>
          <w:rFonts w:ascii="Book Antiqua" w:hAnsi="Book Antiqua"/>
          <w:lang w:val="es-ES_tradnl"/>
        </w:rPr>
        <w:t>ederal logró recuperar 3.4 millones de dólares por un esquema de fraude</w:t>
      </w:r>
      <w:r w:rsidR="006012ED" w:rsidRPr="00233C37">
        <w:rPr>
          <w:rFonts w:ascii="Book Antiqua" w:hAnsi="Book Antiqua"/>
          <w:lang w:val="es-ES_tradnl"/>
        </w:rPr>
        <w:t xml:space="preserve"> entre las</w:t>
      </w:r>
      <w:r w:rsidR="00893602" w:rsidRPr="00233C37">
        <w:rPr>
          <w:rFonts w:ascii="Book Antiqua" w:hAnsi="Book Antiqua"/>
          <w:lang w:val="es-ES_tradnl"/>
        </w:rPr>
        <w:t xml:space="preserve"> compañías de cargamento marítimo Sea </w:t>
      </w:r>
      <w:proofErr w:type="spellStart"/>
      <w:r w:rsidR="00893602" w:rsidRPr="00233C37">
        <w:rPr>
          <w:rFonts w:ascii="Book Antiqua" w:hAnsi="Book Antiqua"/>
          <w:lang w:val="es-ES_tradnl"/>
        </w:rPr>
        <w:t>Star</w:t>
      </w:r>
      <w:proofErr w:type="spellEnd"/>
      <w:r w:rsidR="00893602" w:rsidRPr="00233C37">
        <w:rPr>
          <w:rFonts w:ascii="Book Antiqua" w:hAnsi="Book Antiqua"/>
          <w:lang w:val="es-ES_tradnl"/>
        </w:rPr>
        <w:t xml:space="preserve"> LLC y </w:t>
      </w:r>
      <w:proofErr w:type="spellStart"/>
      <w:r w:rsidR="00893602" w:rsidRPr="00233C37">
        <w:rPr>
          <w:rFonts w:ascii="Book Antiqua" w:hAnsi="Book Antiqua"/>
          <w:lang w:val="es-ES_tradnl"/>
        </w:rPr>
        <w:t>Horizon</w:t>
      </w:r>
      <w:proofErr w:type="spellEnd"/>
      <w:r w:rsidR="00893602" w:rsidRPr="00233C37">
        <w:rPr>
          <w:rFonts w:ascii="Book Antiqua" w:hAnsi="Book Antiqua"/>
          <w:lang w:val="es-ES_tradnl"/>
        </w:rPr>
        <w:t xml:space="preserve"> </w:t>
      </w:r>
      <w:proofErr w:type="spellStart"/>
      <w:r w:rsidR="00893602" w:rsidRPr="00233C37">
        <w:rPr>
          <w:rFonts w:ascii="Book Antiqua" w:hAnsi="Book Antiqua"/>
          <w:lang w:val="es-ES_tradnl"/>
        </w:rPr>
        <w:t>Lines</w:t>
      </w:r>
      <w:proofErr w:type="spellEnd"/>
      <w:r w:rsidR="00893602" w:rsidRPr="00233C37">
        <w:rPr>
          <w:rFonts w:ascii="Book Antiqua" w:hAnsi="Book Antiqua"/>
          <w:lang w:val="es-ES_tradnl"/>
        </w:rPr>
        <w:t xml:space="preserve"> LLC</w:t>
      </w:r>
      <w:r w:rsidR="006012ED" w:rsidRPr="00233C37">
        <w:rPr>
          <w:rFonts w:ascii="Book Antiqua" w:hAnsi="Book Antiqua"/>
          <w:lang w:val="es-ES_tradnl"/>
        </w:rPr>
        <w:t>. Dichas compañías controlaban la gran mayoría de las rutas de transporte entre Puerto Rico y Estados Unidos. Por aproximadamente seis</w:t>
      </w:r>
      <w:r w:rsidR="00461521">
        <w:rPr>
          <w:rFonts w:ascii="Book Antiqua" w:hAnsi="Book Antiqua"/>
          <w:lang w:val="es-ES_tradnl"/>
        </w:rPr>
        <w:t xml:space="preserve"> (6)</w:t>
      </w:r>
      <w:r w:rsidR="006012ED" w:rsidRPr="00233C37">
        <w:rPr>
          <w:rFonts w:ascii="Book Antiqua" w:hAnsi="Book Antiqua"/>
          <w:lang w:val="es-ES_tradnl"/>
        </w:rPr>
        <w:t xml:space="preserve"> años, </w:t>
      </w:r>
      <w:r w:rsidR="00402978" w:rsidRPr="00233C37">
        <w:rPr>
          <w:rFonts w:ascii="Book Antiqua" w:hAnsi="Book Antiqua"/>
          <w:lang w:val="es-ES_tradnl"/>
        </w:rPr>
        <w:t xml:space="preserve">Sea </w:t>
      </w:r>
      <w:proofErr w:type="spellStart"/>
      <w:r w:rsidR="00402978" w:rsidRPr="00233C37">
        <w:rPr>
          <w:rFonts w:ascii="Book Antiqua" w:hAnsi="Book Antiqua"/>
          <w:lang w:val="es-ES_tradnl"/>
        </w:rPr>
        <w:t>Star</w:t>
      </w:r>
      <w:proofErr w:type="spellEnd"/>
      <w:r w:rsidR="00402978" w:rsidRPr="00233C37">
        <w:rPr>
          <w:rFonts w:ascii="Book Antiqua" w:hAnsi="Book Antiqua"/>
          <w:lang w:val="es-ES_tradnl"/>
        </w:rPr>
        <w:t xml:space="preserve">, </w:t>
      </w:r>
      <w:proofErr w:type="spellStart"/>
      <w:r w:rsidR="00402978" w:rsidRPr="00233C37">
        <w:rPr>
          <w:rFonts w:ascii="Book Antiqua" w:hAnsi="Book Antiqua"/>
          <w:lang w:val="es-ES_tradnl"/>
        </w:rPr>
        <w:t>Horizon</w:t>
      </w:r>
      <w:proofErr w:type="spellEnd"/>
      <w:r w:rsidR="00402978" w:rsidRPr="00233C37">
        <w:rPr>
          <w:rFonts w:ascii="Book Antiqua" w:hAnsi="Book Antiqua"/>
          <w:lang w:val="es-ES_tradnl"/>
        </w:rPr>
        <w:t xml:space="preserve"> </w:t>
      </w:r>
      <w:proofErr w:type="spellStart"/>
      <w:r w:rsidR="00402978" w:rsidRPr="00233C37">
        <w:rPr>
          <w:rFonts w:ascii="Book Antiqua" w:hAnsi="Book Antiqua"/>
          <w:lang w:val="es-ES_tradnl"/>
        </w:rPr>
        <w:t>Lines</w:t>
      </w:r>
      <w:proofErr w:type="spellEnd"/>
      <w:r w:rsidR="006012ED" w:rsidRPr="00233C37">
        <w:rPr>
          <w:rFonts w:ascii="Book Antiqua" w:hAnsi="Book Antiqua"/>
          <w:lang w:val="es-ES_tradnl"/>
        </w:rPr>
        <w:t xml:space="preserve"> y sus conspiradores realizaron acuerdos para manipular las subastas y tarifas</w:t>
      </w:r>
      <w:r w:rsidR="00402978" w:rsidRPr="00233C37">
        <w:rPr>
          <w:rFonts w:ascii="Book Antiqua" w:hAnsi="Book Antiqua"/>
          <w:lang w:val="es-ES_tradnl"/>
        </w:rPr>
        <w:t>, manipulando y adquiriendo los contratos realizados con</w:t>
      </w:r>
      <w:r w:rsidR="006012ED" w:rsidRPr="00233C37">
        <w:rPr>
          <w:rFonts w:ascii="Book Antiqua" w:hAnsi="Book Antiqua"/>
          <w:lang w:val="es-ES_tradnl"/>
        </w:rPr>
        <w:t xml:space="preserve"> el </w:t>
      </w:r>
      <w:r w:rsidR="00461521">
        <w:rPr>
          <w:rFonts w:ascii="Book Antiqua" w:hAnsi="Book Antiqua"/>
          <w:lang w:val="es-ES_tradnl"/>
        </w:rPr>
        <w:t>G</w:t>
      </w:r>
      <w:r w:rsidR="006012ED" w:rsidRPr="00233C37">
        <w:rPr>
          <w:rFonts w:ascii="Book Antiqua" w:hAnsi="Book Antiqua"/>
          <w:lang w:val="es-ES_tradnl"/>
        </w:rPr>
        <w:t>obierno de</w:t>
      </w:r>
      <w:r w:rsidR="000C7AA2">
        <w:rPr>
          <w:rFonts w:ascii="Book Antiqua" w:hAnsi="Book Antiqua"/>
          <w:lang w:val="es-ES_tradnl"/>
        </w:rPr>
        <w:t xml:space="preserve"> los </w:t>
      </w:r>
      <w:r w:rsidR="006012ED" w:rsidRPr="00233C37">
        <w:rPr>
          <w:rFonts w:ascii="Book Antiqua" w:hAnsi="Book Antiqua"/>
          <w:lang w:val="es-ES_tradnl"/>
        </w:rPr>
        <w:t>Estados Unidos</w:t>
      </w:r>
      <w:r w:rsidR="00402978" w:rsidRPr="00233C37">
        <w:rPr>
          <w:rFonts w:ascii="Book Antiqua" w:hAnsi="Book Antiqua"/>
          <w:lang w:val="es-ES_tradnl"/>
        </w:rPr>
        <w:t xml:space="preserve"> para </w:t>
      </w:r>
      <w:r w:rsidR="00B501BB" w:rsidRPr="00233C37">
        <w:rPr>
          <w:rFonts w:ascii="Book Antiqua" w:hAnsi="Book Antiqua"/>
          <w:lang w:val="es-ES_tradnl"/>
        </w:rPr>
        <w:t>transportar a</w:t>
      </w:r>
      <w:r w:rsidR="00F46A98" w:rsidRPr="00233C37">
        <w:rPr>
          <w:rFonts w:ascii="Book Antiqua" w:hAnsi="Book Antiqua"/>
          <w:lang w:val="es-ES_tradnl"/>
        </w:rPr>
        <w:t xml:space="preserve"> Puerto Rico</w:t>
      </w:r>
      <w:r w:rsidR="00B856AD" w:rsidRPr="00233C37">
        <w:rPr>
          <w:rFonts w:ascii="Book Antiqua" w:hAnsi="Book Antiqua"/>
          <w:lang w:val="es-ES_tradnl"/>
        </w:rPr>
        <w:t>,</w:t>
      </w:r>
      <w:r w:rsidR="00B501BB" w:rsidRPr="00233C37">
        <w:rPr>
          <w:rFonts w:ascii="Book Antiqua" w:hAnsi="Book Antiqua"/>
          <w:lang w:val="es-ES_tradnl"/>
        </w:rPr>
        <w:t xml:space="preserve"> </w:t>
      </w:r>
      <w:r w:rsidR="00402978" w:rsidRPr="00233C37">
        <w:rPr>
          <w:rFonts w:ascii="Book Antiqua" w:hAnsi="Book Antiqua"/>
          <w:lang w:val="es-ES_tradnl"/>
        </w:rPr>
        <w:t xml:space="preserve">entre </w:t>
      </w:r>
      <w:r w:rsidR="00B501BB" w:rsidRPr="00233C37">
        <w:rPr>
          <w:rFonts w:ascii="Book Antiqua" w:hAnsi="Book Antiqua"/>
          <w:lang w:val="es-ES_tradnl"/>
        </w:rPr>
        <w:t>estos</w:t>
      </w:r>
      <w:r w:rsidR="00B856AD" w:rsidRPr="00233C37">
        <w:rPr>
          <w:rFonts w:ascii="Book Antiqua" w:hAnsi="Book Antiqua"/>
          <w:lang w:val="es-ES_tradnl"/>
        </w:rPr>
        <w:t>,</w:t>
      </w:r>
      <w:r w:rsidR="00402978" w:rsidRPr="00233C37">
        <w:rPr>
          <w:rFonts w:ascii="Book Antiqua" w:hAnsi="Book Antiqua"/>
          <w:lang w:val="es-ES_tradnl"/>
        </w:rPr>
        <w:t xml:space="preserve"> contratos con el Servicio Postal y con el Departamento de Agricultura. </w:t>
      </w:r>
      <w:r w:rsidR="00B51857" w:rsidRPr="00233C37">
        <w:rPr>
          <w:rFonts w:ascii="Book Antiqua" w:hAnsi="Book Antiqua"/>
          <w:lang w:val="es-ES_tradnl"/>
        </w:rPr>
        <w:t xml:space="preserve">Ambos </w:t>
      </w:r>
      <w:r w:rsidR="003C040B" w:rsidRPr="00233C37">
        <w:rPr>
          <w:rFonts w:ascii="Book Antiqua" w:hAnsi="Book Antiqua"/>
          <w:lang w:val="es-ES_tradnl"/>
        </w:rPr>
        <w:t>pleitos llegaron al foro judicial mediante una persona privada con conocimiento y evidencia de los actos fraudulentos.</w:t>
      </w:r>
      <w:r w:rsidR="00B51857" w:rsidRPr="00233C37">
        <w:rPr>
          <w:rFonts w:ascii="Book Antiqua" w:hAnsi="Book Antiqua"/>
          <w:lang w:val="es-ES_tradnl"/>
        </w:rPr>
        <w:t xml:space="preserve"> Como dispone la ley, </w:t>
      </w:r>
      <w:r w:rsidR="003C040B" w:rsidRPr="00233C37">
        <w:rPr>
          <w:rFonts w:ascii="Book Antiqua" w:hAnsi="Book Antiqua"/>
          <w:lang w:val="es-ES_tradnl"/>
        </w:rPr>
        <w:t xml:space="preserve">estos informantes recibieron una porción del dinero recuperado por el </w:t>
      </w:r>
      <w:r w:rsidR="00461521">
        <w:rPr>
          <w:rFonts w:ascii="Book Antiqua" w:hAnsi="Book Antiqua"/>
          <w:lang w:val="es-ES_tradnl"/>
        </w:rPr>
        <w:t>G</w:t>
      </w:r>
      <w:r w:rsidR="003C040B" w:rsidRPr="00233C37">
        <w:rPr>
          <w:rFonts w:ascii="Book Antiqua" w:hAnsi="Book Antiqua"/>
          <w:lang w:val="es-ES_tradnl"/>
        </w:rPr>
        <w:t>obierno.</w:t>
      </w:r>
    </w:p>
    <w:p w14:paraId="0F902F6C" w14:textId="77777777" w:rsidR="0030316E" w:rsidRPr="008D44BD" w:rsidRDefault="0030316E" w:rsidP="0030316E">
      <w:pPr>
        <w:ind w:firstLine="360"/>
        <w:jc w:val="both"/>
        <w:rPr>
          <w:rFonts w:ascii="Book Antiqua" w:hAnsi="Book Antiqua"/>
          <w:sz w:val="16"/>
          <w:szCs w:val="16"/>
          <w:lang w:val="es-ES_tradnl"/>
        </w:rPr>
      </w:pPr>
    </w:p>
    <w:p w14:paraId="7CCCD526" w14:textId="2368CD02" w:rsidR="002E1142" w:rsidRDefault="00B51857" w:rsidP="0030316E">
      <w:pPr>
        <w:ind w:firstLine="360"/>
        <w:jc w:val="both"/>
        <w:rPr>
          <w:rFonts w:ascii="Book Antiqua" w:hAnsi="Book Antiqua"/>
          <w:lang w:val="es-ES_tradnl"/>
        </w:rPr>
      </w:pPr>
      <w:r>
        <w:rPr>
          <w:rFonts w:ascii="Book Antiqua" w:hAnsi="Book Antiqua"/>
          <w:lang w:val="es-ES_tradnl"/>
        </w:rPr>
        <w:t>Como consecuencia de lo anterior,</w:t>
      </w:r>
      <w:r w:rsidR="002E1142" w:rsidRPr="002E1142">
        <w:rPr>
          <w:rFonts w:ascii="Book Antiqua" w:hAnsi="Book Antiqua"/>
          <w:lang w:val="es-ES_tradnl"/>
        </w:rPr>
        <w:t xml:space="preserve"> la efectividad de </w:t>
      </w:r>
      <w:r w:rsidR="00B501BB">
        <w:rPr>
          <w:rFonts w:ascii="Book Antiqua" w:hAnsi="Book Antiqua"/>
          <w:lang w:val="es-ES_tradnl"/>
        </w:rPr>
        <w:t>este tipo de legislación</w:t>
      </w:r>
      <w:r w:rsidR="002E1142" w:rsidRPr="002E1142">
        <w:rPr>
          <w:rFonts w:ascii="Book Antiqua" w:hAnsi="Book Antiqua"/>
          <w:lang w:val="es-ES_tradnl"/>
        </w:rPr>
        <w:t xml:space="preserve"> depende de la cooperación del informante o delator. </w:t>
      </w:r>
      <w:r w:rsidR="005C621F">
        <w:rPr>
          <w:rFonts w:ascii="Book Antiqua" w:hAnsi="Book Antiqua"/>
          <w:lang w:val="es-ES_tradnl"/>
        </w:rPr>
        <w:t xml:space="preserve">Esta </w:t>
      </w:r>
      <w:r w:rsidR="002E1142" w:rsidRPr="002E1142">
        <w:rPr>
          <w:rFonts w:ascii="Book Antiqua" w:hAnsi="Book Antiqua"/>
          <w:lang w:val="es-ES_tradnl"/>
        </w:rPr>
        <w:t xml:space="preserve">parte </w:t>
      </w:r>
      <w:r w:rsidR="005C621F">
        <w:rPr>
          <w:rFonts w:ascii="Book Antiqua" w:hAnsi="Book Antiqua"/>
          <w:lang w:val="es-ES_tradnl"/>
        </w:rPr>
        <w:t>se considera un tipo de</w:t>
      </w:r>
      <w:r w:rsidR="00153728">
        <w:rPr>
          <w:rFonts w:ascii="Book Antiqua" w:hAnsi="Book Antiqua"/>
          <w:lang w:val="es-ES_tradnl"/>
        </w:rPr>
        <w:t xml:space="preserve"> </w:t>
      </w:r>
      <w:proofErr w:type="spellStart"/>
      <w:r w:rsidR="002E1142" w:rsidRPr="002E1142">
        <w:rPr>
          <w:rFonts w:ascii="Book Antiqua" w:hAnsi="Book Antiqua"/>
          <w:i/>
          <w:iCs/>
          <w:lang w:val="es-ES_tradnl"/>
        </w:rPr>
        <w:t>whistleblower</w:t>
      </w:r>
      <w:proofErr w:type="spellEnd"/>
      <w:r w:rsidR="002E1142" w:rsidRPr="002E1142">
        <w:rPr>
          <w:rFonts w:ascii="Book Antiqua" w:hAnsi="Book Antiqua"/>
          <w:lang w:val="es-ES_tradnl"/>
        </w:rPr>
        <w:t xml:space="preserve">: una persona que reporta pérdida, abuso, corrupción o peligros a la salud y seguridad pública a alguien que está en la posición de corregir dicha problemática. Usualmente, los </w:t>
      </w:r>
      <w:proofErr w:type="spellStart"/>
      <w:r w:rsidR="002E1142" w:rsidRPr="002E1142">
        <w:rPr>
          <w:rFonts w:ascii="Book Antiqua" w:hAnsi="Book Antiqua"/>
          <w:i/>
          <w:iCs/>
          <w:lang w:val="es-ES_tradnl"/>
        </w:rPr>
        <w:t>whistleblowers</w:t>
      </w:r>
      <w:proofErr w:type="spellEnd"/>
      <w:r w:rsidR="002E1142" w:rsidRPr="002E1142">
        <w:rPr>
          <w:rFonts w:ascii="Book Antiqua" w:hAnsi="Book Antiqua"/>
          <w:lang w:val="es-ES_tradnl"/>
        </w:rPr>
        <w:t xml:space="preserve"> son </w:t>
      </w:r>
      <w:r w:rsidR="00461521">
        <w:rPr>
          <w:rFonts w:ascii="Book Antiqua" w:hAnsi="Book Antiqua"/>
          <w:lang w:val="es-ES_tradnl"/>
        </w:rPr>
        <w:t>integrante</w:t>
      </w:r>
      <w:r w:rsidR="002E1142" w:rsidRPr="002E1142">
        <w:rPr>
          <w:rFonts w:ascii="Book Antiqua" w:hAnsi="Book Antiqua"/>
          <w:lang w:val="es-ES_tradnl"/>
        </w:rPr>
        <w:t xml:space="preserve">s o empleados pasados o actuales de la organización en que se comete el delito o violación. Estos juegan un rol determinante en </w:t>
      </w:r>
      <w:r w:rsidR="002E1142" w:rsidRPr="00233C37">
        <w:rPr>
          <w:rFonts w:ascii="Book Antiqua" w:hAnsi="Book Antiqua"/>
          <w:lang w:val="es-ES_tradnl"/>
        </w:rPr>
        <w:t xml:space="preserve">la ejecución de la ley, pues conocen del acto y cuentan con evidencia. </w:t>
      </w:r>
      <w:r w:rsidR="00B501BB" w:rsidRPr="00233C37">
        <w:rPr>
          <w:rFonts w:ascii="Book Antiqua" w:hAnsi="Book Antiqua"/>
          <w:lang w:val="es-ES_tradnl"/>
        </w:rPr>
        <w:t>Sin embargo,</w:t>
      </w:r>
      <w:r w:rsidR="002E1142" w:rsidRPr="00233C37">
        <w:rPr>
          <w:rFonts w:ascii="Book Antiqua" w:hAnsi="Book Antiqua"/>
          <w:lang w:val="es-ES_tradnl"/>
        </w:rPr>
        <w:t xml:space="preserve"> estos </w:t>
      </w:r>
      <w:r w:rsidR="00B501BB" w:rsidRPr="00233C37">
        <w:rPr>
          <w:rFonts w:ascii="Book Antiqua" w:hAnsi="Book Antiqua"/>
          <w:lang w:val="es-ES_tradnl"/>
        </w:rPr>
        <w:t>son constantemente</w:t>
      </w:r>
      <w:r w:rsidR="00232147" w:rsidRPr="00233C37">
        <w:rPr>
          <w:rFonts w:ascii="Book Antiqua" w:hAnsi="Book Antiqua"/>
          <w:lang w:val="es-ES_tradnl"/>
        </w:rPr>
        <w:t xml:space="preserve"> castigados</w:t>
      </w:r>
      <w:r w:rsidR="002E1142" w:rsidRPr="00233C37">
        <w:rPr>
          <w:rFonts w:ascii="Book Antiqua" w:hAnsi="Book Antiqua"/>
          <w:lang w:val="es-ES_tradnl"/>
        </w:rPr>
        <w:t xml:space="preserve"> con acoso, desp</w:t>
      </w:r>
      <w:r w:rsidR="005C621F" w:rsidRPr="00233C37">
        <w:rPr>
          <w:rFonts w:ascii="Book Antiqua" w:hAnsi="Book Antiqua"/>
          <w:lang w:val="es-ES_tradnl"/>
        </w:rPr>
        <w:t>i</w:t>
      </w:r>
      <w:r w:rsidR="002E1142" w:rsidRPr="00233C37">
        <w:rPr>
          <w:rFonts w:ascii="Book Antiqua" w:hAnsi="Book Antiqua"/>
          <w:lang w:val="es-ES_tradnl"/>
        </w:rPr>
        <w:t xml:space="preserve">dos, transferencias, entre otros tipos de represalias. </w:t>
      </w:r>
      <w:r w:rsidR="005C621F" w:rsidRPr="00233C37">
        <w:rPr>
          <w:rFonts w:ascii="Book Antiqua" w:hAnsi="Book Antiqua"/>
          <w:lang w:val="es-ES_tradnl"/>
        </w:rPr>
        <w:t>Por esta razón</w:t>
      </w:r>
      <w:r w:rsidR="002E1142" w:rsidRPr="00233C37">
        <w:rPr>
          <w:rFonts w:ascii="Book Antiqua" w:hAnsi="Book Antiqua"/>
          <w:lang w:val="es-ES_tradnl"/>
        </w:rPr>
        <w:t xml:space="preserve"> se </w:t>
      </w:r>
      <w:r w:rsidR="005C621F" w:rsidRPr="00233C37">
        <w:rPr>
          <w:rFonts w:ascii="Book Antiqua" w:hAnsi="Book Antiqua"/>
          <w:lang w:val="es-ES_tradnl"/>
        </w:rPr>
        <w:t>ha legislado para proteger al</w:t>
      </w:r>
      <w:r w:rsidR="002E1142" w:rsidRPr="00233C37">
        <w:rPr>
          <w:rFonts w:ascii="Book Antiqua" w:hAnsi="Book Antiqua"/>
          <w:lang w:val="es-ES_tradnl"/>
        </w:rPr>
        <w:t xml:space="preserve"> delator</w:t>
      </w:r>
      <w:r w:rsidR="005C621F" w:rsidRPr="00233C37">
        <w:rPr>
          <w:rFonts w:ascii="Book Antiqua" w:hAnsi="Book Antiqua"/>
          <w:lang w:val="es-ES_tradnl"/>
        </w:rPr>
        <w:t>,</w:t>
      </w:r>
      <w:r w:rsidR="002E1142" w:rsidRPr="00233C37">
        <w:rPr>
          <w:rFonts w:ascii="Book Antiqua" w:hAnsi="Book Antiqua"/>
          <w:lang w:val="es-ES_tradnl"/>
        </w:rPr>
        <w:t xml:space="preserve"> con </w:t>
      </w:r>
      <w:r w:rsidR="005C621F" w:rsidRPr="00233C37">
        <w:rPr>
          <w:rFonts w:ascii="Book Antiqua" w:hAnsi="Book Antiqua"/>
          <w:lang w:val="es-ES_tradnl"/>
        </w:rPr>
        <w:t>la finalidad</w:t>
      </w:r>
      <w:r w:rsidR="002E1142" w:rsidRPr="00233C37">
        <w:rPr>
          <w:rFonts w:ascii="Book Antiqua" w:hAnsi="Book Antiqua"/>
          <w:lang w:val="es-ES_tradnl"/>
        </w:rPr>
        <w:t xml:space="preserve"> de que esta cooperación fluya. En el caso de la FCA, se dispone que el empleado, contratista o agente, que </w:t>
      </w:r>
      <w:r w:rsidR="005C621F" w:rsidRPr="00233C37">
        <w:rPr>
          <w:rFonts w:ascii="Book Antiqua" w:hAnsi="Book Antiqua"/>
          <w:lang w:val="es-ES_tradnl"/>
        </w:rPr>
        <w:t>haya sido</w:t>
      </w:r>
      <w:r w:rsidR="002E1142" w:rsidRPr="00233C37">
        <w:rPr>
          <w:rFonts w:ascii="Book Antiqua" w:hAnsi="Book Antiqua"/>
          <w:lang w:val="es-ES_tradnl"/>
        </w:rPr>
        <w:t xml:space="preserve"> despedido, degradado, suspendido, amenazado, acosado o de cualquier otra forma discriminado en la esfera laboral por su actuación legal para detener una violación a dicha ley, tiene derecho a todo remedio necesario para colocarlo en la misma posición en que se encontraba antes de </w:t>
      </w:r>
      <w:r w:rsidR="005C621F" w:rsidRPr="00233C37">
        <w:rPr>
          <w:rFonts w:ascii="Book Antiqua" w:hAnsi="Book Antiqua"/>
          <w:lang w:val="es-ES_tradnl"/>
        </w:rPr>
        <w:t>cooperar</w:t>
      </w:r>
      <w:r w:rsidR="002E1142" w:rsidRPr="00233C37">
        <w:rPr>
          <w:rFonts w:ascii="Book Antiqua" w:hAnsi="Book Antiqua"/>
          <w:lang w:val="es-ES_tradnl"/>
        </w:rPr>
        <w:t>. A su vez, se le permite recurrir al tribunal para reclamar este derecho.</w:t>
      </w:r>
      <w:r w:rsidR="002E1142" w:rsidRPr="002E1142">
        <w:rPr>
          <w:rFonts w:ascii="Book Antiqua" w:hAnsi="Book Antiqua"/>
          <w:lang w:val="es-ES_tradnl"/>
        </w:rPr>
        <w:t xml:space="preserve"> </w:t>
      </w:r>
    </w:p>
    <w:p w14:paraId="085F1D69" w14:textId="77777777" w:rsidR="0030316E" w:rsidRPr="008D44BD" w:rsidRDefault="0030316E" w:rsidP="0030316E">
      <w:pPr>
        <w:ind w:firstLine="360"/>
        <w:jc w:val="both"/>
        <w:rPr>
          <w:rFonts w:ascii="Book Antiqua" w:hAnsi="Book Antiqua"/>
          <w:sz w:val="16"/>
          <w:szCs w:val="16"/>
          <w:lang w:val="es-ES_tradnl"/>
        </w:rPr>
      </w:pPr>
    </w:p>
    <w:p w14:paraId="5D1B00B8" w14:textId="00BC8009" w:rsidR="00153728" w:rsidRDefault="005C621F" w:rsidP="0030316E">
      <w:pPr>
        <w:ind w:firstLine="360"/>
        <w:jc w:val="both"/>
        <w:rPr>
          <w:rFonts w:ascii="Book Antiqua" w:hAnsi="Book Antiqua"/>
          <w:lang w:val="es-ES_tradnl"/>
        </w:rPr>
      </w:pPr>
      <w:r w:rsidRPr="00233C37">
        <w:rPr>
          <w:rFonts w:ascii="Book Antiqua" w:hAnsi="Book Antiqua"/>
          <w:lang w:val="es-ES_tradnl"/>
        </w:rPr>
        <w:t>En Puerto Rico</w:t>
      </w:r>
      <w:r w:rsidR="00153728" w:rsidRPr="00233C37">
        <w:rPr>
          <w:rFonts w:ascii="Book Antiqua" w:hAnsi="Book Antiqua"/>
          <w:lang w:val="es-ES_tradnl"/>
        </w:rPr>
        <w:t xml:space="preserve"> la </w:t>
      </w:r>
      <w:r w:rsidR="009B2E86" w:rsidRPr="00233C37">
        <w:rPr>
          <w:rFonts w:ascii="Book Antiqua" w:hAnsi="Book Antiqua"/>
          <w:lang w:val="es-ES_tradnl"/>
        </w:rPr>
        <w:t>“</w:t>
      </w:r>
      <w:r w:rsidR="00153728" w:rsidRPr="00233C37">
        <w:rPr>
          <w:rFonts w:ascii="Book Antiqua" w:hAnsi="Book Antiqua"/>
          <w:lang w:val="es-ES_tradnl"/>
        </w:rPr>
        <w:t>Ley de Reclamaciones Fraudulentas a los Programas, Contratos y Servicios del Gobierno de Puerto Rico</w:t>
      </w:r>
      <w:r w:rsidR="009B2E86" w:rsidRPr="00233C37">
        <w:rPr>
          <w:rFonts w:ascii="Book Antiqua" w:hAnsi="Book Antiqua"/>
          <w:lang w:val="es-ES_tradnl"/>
        </w:rPr>
        <w:t>”</w:t>
      </w:r>
      <w:r w:rsidR="00461521">
        <w:rPr>
          <w:rFonts w:ascii="Book Antiqua" w:hAnsi="Book Antiqua"/>
          <w:lang w:val="es-ES_tradnl"/>
        </w:rPr>
        <w:t xml:space="preserve"> </w:t>
      </w:r>
      <w:r w:rsidRPr="00233C37">
        <w:rPr>
          <w:rFonts w:ascii="Book Antiqua" w:hAnsi="Book Antiqua"/>
          <w:lang w:val="es-ES_tradnl"/>
        </w:rPr>
        <w:t>es el</w:t>
      </w:r>
      <w:r w:rsidR="00153728" w:rsidRPr="00233C37">
        <w:rPr>
          <w:rFonts w:ascii="Book Antiqua" w:hAnsi="Book Antiqua"/>
          <w:lang w:val="es-ES_tradnl"/>
        </w:rPr>
        <w:t xml:space="preserve"> estatuto </w:t>
      </w:r>
      <w:r w:rsidR="009B2E86" w:rsidRPr="00233C37">
        <w:rPr>
          <w:rFonts w:ascii="Book Antiqua" w:hAnsi="Book Antiqua"/>
          <w:lang w:val="es-ES_tradnl"/>
        </w:rPr>
        <w:t xml:space="preserve">local </w:t>
      </w:r>
      <w:r w:rsidR="00153728" w:rsidRPr="00233C37">
        <w:rPr>
          <w:rFonts w:ascii="Book Antiqua" w:hAnsi="Book Antiqua"/>
          <w:lang w:val="es-ES_tradnl"/>
        </w:rPr>
        <w:t xml:space="preserve">equivalente </w:t>
      </w:r>
      <w:r w:rsidR="009B2E86" w:rsidRPr="00233C37">
        <w:rPr>
          <w:rFonts w:ascii="Book Antiqua" w:hAnsi="Book Antiqua"/>
          <w:lang w:val="es-ES_tradnl"/>
        </w:rPr>
        <w:t xml:space="preserve">a </w:t>
      </w:r>
      <w:r w:rsidR="00153728" w:rsidRPr="00233C37">
        <w:rPr>
          <w:rFonts w:ascii="Book Antiqua" w:hAnsi="Book Antiqua"/>
          <w:lang w:val="es-ES_tradnl"/>
        </w:rPr>
        <w:t xml:space="preserve">la </w:t>
      </w:r>
      <w:r w:rsidR="004F7C46" w:rsidRPr="00233C37">
        <w:rPr>
          <w:rFonts w:ascii="Book Antiqua" w:hAnsi="Book Antiqua"/>
          <w:lang w:val="es-ES_tradnl"/>
        </w:rPr>
        <w:t xml:space="preserve">Ley Federal </w:t>
      </w:r>
      <w:r w:rsidR="00153728" w:rsidRPr="00233C37">
        <w:rPr>
          <w:rFonts w:ascii="Book Antiqua" w:hAnsi="Book Antiqua"/>
          <w:lang w:val="es-ES_tradnl"/>
        </w:rPr>
        <w:t xml:space="preserve">de Reclamos Falsos. </w:t>
      </w:r>
      <w:r w:rsidR="004F7C46" w:rsidRPr="00233C37">
        <w:rPr>
          <w:rFonts w:ascii="Book Antiqua" w:hAnsi="Book Antiqua"/>
          <w:lang w:val="es-ES_tradnl"/>
        </w:rPr>
        <w:t xml:space="preserve">La Ley 154-2018, según enmendada, pretende </w:t>
      </w:r>
      <w:r w:rsidR="00153728" w:rsidRPr="00233C37">
        <w:rPr>
          <w:rFonts w:ascii="Book Antiqua" w:hAnsi="Book Antiqua"/>
          <w:lang w:val="es-ES_tradnl"/>
        </w:rPr>
        <w:t xml:space="preserve">crear un andamiaje para que el </w:t>
      </w:r>
      <w:r w:rsidRPr="00233C37">
        <w:rPr>
          <w:rFonts w:ascii="Book Antiqua" w:hAnsi="Book Antiqua"/>
          <w:lang w:val="es-ES_tradnl"/>
        </w:rPr>
        <w:t>G</w:t>
      </w:r>
      <w:r w:rsidR="00153728" w:rsidRPr="00233C37">
        <w:rPr>
          <w:rFonts w:ascii="Book Antiqua" w:hAnsi="Book Antiqua"/>
          <w:lang w:val="es-ES_tradnl"/>
        </w:rPr>
        <w:t>obierno</w:t>
      </w:r>
      <w:r w:rsidR="00A42E25" w:rsidRPr="00233C37">
        <w:rPr>
          <w:rFonts w:ascii="Book Antiqua" w:hAnsi="Book Antiqua"/>
          <w:lang w:val="es-ES_tradnl"/>
        </w:rPr>
        <w:t xml:space="preserve"> de Puerto Rico pueda</w:t>
      </w:r>
      <w:r w:rsidR="00153728" w:rsidRPr="00233C37">
        <w:rPr>
          <w:rFonts w:ascii="Book Antiqua" w:hAnsi="Book Antiqua"/>
          <w:lang w:val="es-ES_tradnl"/>
        </w:rPr>
        <w:t xml:space="preserve"> procesar</w:t>
      </w:r>
      <w:r w:rsidR="00153728" w:rsidRPr="00153728">
        <w:rPr>
          <w:rFonts w:ascii="Book Antiqua" w:hAnsi="Book Antiqua"/>
          <w:lang w:val="es-ES_tradnl"/>
        </w:rPr>
        <w:t xml:space="preserve"> civilmente el fraude a los Programas de Gobierno y en los contratos de servicio. Para ello, </w:t>
      </w:r>
      <w:r w:rsidR="00153728">
        <w:rPr>
          <w:rFonts w:ascii="Book Antiqua" w:hAnsi="Book Antiqua"/>
          <w:lang w:val="es-ES_tradnl"/>
        </w:rPr>
        <w:t>se</w:t>
      </w:r>
      <w:r w:rsidR="00153728" w:rsidRPr="00153728">
        <w:rPr>
          <w:rFonts w:ascii="Book Antiqua" w:hAnsi="Book Antiqua"/>
          <w:lang w:val="es-ES_tradnl"/>
        </w:rPr>
        <w:t xml:space="preserve"> incorporó la participación ciudadana en dichos procesos al adoptar la acción </w:t>
      </w:r>
      <w:r w:rsidR="00153728" w:rsidRPr="00153728">
        <w:rPr>
          <w:rFonts w:ascii="Book Antiqua" w:hAnsi="Book Antiqua"/>
          <w:i/>
          <w:iCs/>
          <w:lang w:val="es-ES_tradnl"/>
        </w:rPr>
        <w:t xml:space="preserve">Qui </w:t>
      </w:r>
      <w:proofErr w:type="spellStart"/>
      <w:r w:rsidR="00153728" w:rsidRPr="00153728">
        <w:rPr>
          <w:rFonts w:ascii="Book Antiqua" w:hAnsi="Book Antiqua"/>
          <w:i/>
          <w:iCs/>
          <w:lang w:val="es-ES_tradnl"/>
        </w:rPr>
        <w:t>Tam</w:t>
      </w:r>
      <w:proofErr w:type="spellEnd"/>
      <w:r w:rsidR="00153728" w:rsidRPr="00153728">
        <w:rPr>
          <w:rFonts w:ascii="Book Antiqua" w:hAnsi="Book Antiqua"/>
          <w:lang w:val="es-ES_tradnl"/>
        </w:rPr>
        <w:t xml:space="preserve">.  Además, se estableció una Unidad de Control de Fraude al Medicaid para atender la problemática específicamente entre proveedores de servicios médicos.  </w:t>
      </w:r>
    </w:p>
    <w:p w14:paraId="127B846A" w14:textId="77777777" w:rsidR="0030316E" w:rsidRPr="008D44BD" w:rsidRDefault="0030316E" w:rsidP="0030316E">
      <w:pPr>
        <w:ind w:firstLine="360"/>
        <w:jc w:val="both"/>
        <w:rPr>
          <w:rFonts w:ascii="Book Antiqua" w:hAnsi="Book Antiqua"/>
          <w:sz w:val="16"/>
          <w:szCs w:val="16"/>
          <w:lang w:val="es-ES_tradnl"/>
        </w:rPr>
      </w:pPr>
    </w:p>
    <w:p w14:paraId="6FF774B3" w14:textId="0E52172A" w:rsidR="00153728" w:rsidRPr="00233C37" w:rsidRDefault="003C040B" w:rsidP="0030316E">
      <w:pPr>
        <w:ind w:firstLine="360"/>
        <w:jc w:val="both"/>
        <w:rPr>
          <w:rFonts w:ascii="Book Antiqua" w:hAnsi="Book Antiqua"/>
          <w:lang w:val="es-ES_tradnl"/>
        </w:rPr>
      </w:pPr>
      <w:r w:rsidRPr="00233C37">
        <w:rPr>
          <w:rFonts w:ascii="Book Antiqua" w:hAnsi="Book Antiqua"/>
          <w:lang w:val="es-ES_tradnl"/>
        </w:rPr>
        <w:t xml:space="preserve">Las primeras disposiciones </w:t>
      </w:r>
      <w:r w:rsidR="00A42E25" w:rsidRPr="00233C37">
        <w:rPr>
          <w:rFonts w:ascii="Book Antiqua" w:hAnsi="Book Antiqua"/>
          <w:lang w:val="es-ES_tradnl"/>
        </w:rPr>
        <w:t xml:space="preserve">del estatuto están </w:t>
      </w:r>
      <w:r w:rsidR="00153728" w:rsidRPr="00233C37">
        <w:rPr>
          <w:rFonts w:ascii="Book Antiqua" w:hAnsi="Book Antiqua"/>
          <w:lang w:val="es-ES_tradnl"/>
        </w:rPr>
        <w:t>relacionadas</w:t>
      </w:r>
      <w:r w:rsidR="00A42E25" w:rsidRPr="00233C37">
        <w:rPr>
          <w:rFonts w:ascii="Book Antiqua" w:hAnsi="Book Antiqua"/>
          <w:lang w:val="es-ES_tradnl"/>
        </w:rPr>
        <w:t xml:space="preserve"> con</w:t>
      </w:r>
      <w:r w:rsidR="00153728" w:rsidRPr="00233C37">
        <w:rPr>
          <w:rFonts w:ascii="Book Antiqua" w:hAnsi="Book Antiqua"/>
          <w:lang w:val="es-ES_tradnl"/>
        </w:rPr>
        <w:t xml:space="preserve"> la Unidad de Control de Fraude del Medicaid y </w:t>
      </w:r>
      <w:r w:rsidR="00A42E25" w:rsidRPr="00233C37">
        <w:rPr>
          <w:rFonts w:ascii="Book Antiqua" w:hAnsi="Book Antiqua"/>
          <w:lang w:val="es-ES_tradnl"/>
        </w:rPr>
        <w:t xml:space="preserve">el </w:t>
      </w:r>
      <w:r w:rsidR="00153728" w:rsidRPr="00233C37">
        <w:rPr>
          <w:rFonts w:ascii="Book Antiqua" w:hAnsi="Book Antiqua"/>
          <w:lang w:val="es-ES_tradnl"/>
        </w:rPr>
        <w:t xml:space="preserve">fraude </w:t>
      </w:r>
      <w:r w:rsidR="00A42E25" w:rsidRPr="00233C37">
        <w:rPr>
          <w:rFonts w:ascii="Book Antiqua" w:hAnsi="Book Antiqua"/>
          <w:lang w:val="es-ES_tradnl"/>
        </w:rPr>
        <w:t xml:space="preserve">al interior </w:t>
      </w:r>
      <w:r w:rsidR="00153728" w:rsidRPr="00233C37">
        <w:rPr>
          <w:rFonts w:ascii="Book Antiqua" w:hAnsi="Book Antiqua"/>
          <w:lang w:val="es-ES_tradnl"/>
        </w:rPr>
        <w:t xml:space="preserve">de dicho programa. En </w:t>
      </w:r>
      <w:r w:rsidR="00A42E25" w:rsidRPr="00233C37">
        <w:rPr>
          <w:rFonts w:ascii="Book Antiqua" w:hAnsi="Book Antiqua"/>
          <w:lang w:val="es-ES_tradnl"/>
        </w:rPr>
        <w:t xml:space="preserve">su Capítulo </w:t>
      </w:r>
      <w:r w:rsidR="00153728" w:rsidRPr="00233C37">
        <w:rPr>
          <w:rFonts w:ascii="Book Antiqua" w:hAnsi="Book Antiqua"/>
          <w:lang w:val="es-ES_tradnl"/>
        </w:rPr>
        <w:t xml:space="preserve">IV se establecen las disposiciones relacionadas a las reclamaciones fraudulentas en general.  </w:t>
      </w:r>
      <w:r w:rsidRPr="00233C37">
        <w:rPr>
          <w:rFonts w:ascii="Book Antiqua" w:hAnsi="Book Antiqua"/>
          <w:lang w:val="es-ES_tradnl"/>
        </w:rPr>
        <w:t>Dichas acciones</w:t>
      </w:r>
      <w:r w:rsidR="00153728" w:rsidRPr="00233C37">
        <w:rPr>
          <w:rFonts w:ascii="Book Antiqua" w:hAnsi="Book Antiqua"/>
          <w:lang w:val="es-ES_tradnl"/>
        </w:rPr>
        <w:t xml:space="preserve"> tienen que surgir bajo un Programa de Gobierno o un contrato de </w:t>
      </w:r>
      <w:r w:rsidR="00153728" w:rsidRPr="00233C37">
        <w:rPr>
          <w:rFonts w:ascii="Book Antiqua" w:hAnsi="Book Antiqua"/>
          <w:lang w:val="es-ES_tradnl"/>
        </w:rPr>
        <w:lastRenderedPageBreak/>
        <w:t xml:space="preserve">servicio, según definidos por el estatuto. La ley penaliza a la persona </w:t>
      </w:r>
      <w:r w:rsidR="002141E4" w:rsidRPr="00233C37">
        <w:rPr>
          <w:rFonts w:ascii="Book Antiqua" w:hAnsi="Book Antiqua"/>
          <w:lang w:val="es-ES_tradnl"/>
        </w:rPr>
        <w:t xml:space="preserve">que </w:t>
      </w:r>
      <w:r w:rsidR="00153728" w:rsidRPr="00233C37">
        <w:rPr>
          <w:rFonts w:ascii="Book Antiqua" w:hAnsi="Book Antiqua"/>
          <w:lang w:val="es-ES_tradnl"/>
        </w:rPr>
        <w:t xml:space="preserve">presente una reclamación falsa o fraudulenta para una aprobación o un pago.  Además, penaliza </w:t>
      </w:r>
      <w:r w:rsidR="002141E4" w:rsidRPr="00233C37">
        <w:rPr>
          <w:rFonts w:ascii="Book Antiqua" w:hAnsi="Book Antiqua"/>
          <w:lang w:val="es-ES_tradnl"/>
        </w:rPr>
        <w:t xml:space="preserve">a toda </w:t>
      </w:r>
      <w:r w:rsidR="00153728" w:rsidRPr="00233C37">
        <w:rPr>
          <w:rFonts w:ascii="Book Antiqua" w:hAnsi="Book Antiqua"/>
          <w:lang w:val="es-ES_tradnl"/>
        </w:rPr>
        <w:t xml:space="preserve">persona </w:t>
      </w:r>
      <w:r w:rsidR="002141E4" w:rsidRPr="00233C37">
        <w:rPr>
          <w:rFonts w:ascii="Book Antiqua" w:hAnsi="Book Antiqua"/>
          <w:lang w:val="es-ES_tradnl"/>
        </w:rPr>
        <w:t xml:space="preserve">que </w:t>
      </w:r>
      <w:r w:rsidR="00153728" w:rsidRPr="00233C37">
        <w:rPr>
          <w:rFonts w:ascii="Book Antiqua" w:hAnsi="Book Antiqua"/>
          <w:lang w:val="es-ES_tradnl"/>
        </w:rPr>
        <w:t xml:space="preserve">haga, use o cause que se haga o que se use un récord falso o una declaración que sea fundamental para someter una reclamación falsa o fraudulenta. Por último, se penaliza el que una persona haga, use o cause que se haga o que se use un récord falso o una declaración que sea fundamental para una obligación de pagar, transmitir dinero o propiedad </w:t>
      </w:r>
      <w:r w:rsidR="00461521">
        <w:rPr>
          <w:rFonts w:ascii="Book Antiqua" w:hAnsi="Book Antiqua"/>
          <w:lang w:val="es-ES_tradnl"/>
        </w:rPr>
        <w:t>pública</w:t>
      </w:r>
      <w:r w:rsidR="00153728" w:rsidRPr="00233C37">
        <w:rPr>
          <w:rFonts w:ascii="Book Antiqua" w:hAnsi="Book Antiqua"/>
          <w:lang w:val="es-ES_tradnl"/>
        </w:rPr>
        <w:t xml:space="preserve">, o que se esconda, evada o disminuya su obligación de pagar o transmitir dinero o propiedad. Esto significa que también se </w:t>
      </w:r>
      <w:r w:rsidR="005C621F" w:rsidRPr="00233C37">
        <w:rPr>
          <w:rFonts w:ascii="Book Antiqua" w:hAnsi="Book Antiqua"/>
          <w:lang w:val="es-ES_tradnl"/>
        </w:rPr>
        <w:t>sanciona</w:t>
      </w:r>
      <w:r w:rsidR="00153728" w:rsidRPr="00233C37">
        <w:rPr>
          <w:rFonts w:ascii="Book Antiqua" w:hAnsi="Book Antiqua"/>
          <w:lang w:val="es-ES_tradnl"/>
        </w:rPr>
        <w:t xml:space="preserve"> que </w:t>
      </w:r>
      <w:r w:rsidR="005C621F" w:rsidRPr="00233C37">
        <w:rPr>
          <w:rFonts w:ascii="Book Antiqua" w:hAnsi="Book Antiqua"/>
          <w:lang w:val="es-ES_tradnl"/>
        </w:rPr>
        <w:t>una parte</w:t>
      </w:r>
      <w:r w:rsidR="00153728" w:rsidRPr="00233C37">
        <w:rPr>
          <w:rFonts w:ascii="Book Antiqua" w:hAnsi="Book Antiqua"/>
          <w:lang w:val="es-ES_tradnl"/>
        </w:rPr>
        <w:t xml:space="preserve"> evite pagarle al </w:t>
      </w:r>
      <w:r w:rsidR="00461521">
        <w:rPr>
          <w:rFonts w:ascii="Book Antiqua" w:hAnsi="Book Antiqua"/>
          <w:lang w:val="es-ES_tradnl"/>
        </w:rPr>
        <w:t>G</w:t>
      </w:r>
      <w:r w:rsidR="00153728" w:rsidRPr="00233C37">
        <w:rPr>
          <w:rFonts w:ascii="Book Antiqua" w:hAnsi="Book Antiqua"/>
          <w:lang w:val="es-ES_tradnl"/>
        </w:rPr>
        <w:t>obierno</w:t>
      </w:r>
      <w:r w:rsidR="005C621F" w:rsidRPr="00233C37">
        <w:rPr>
          <w:rFonts w:ascii="Book Antiqua" w:hAnsi="Book Antiqua"/>
          <w:lang w:val="es-ES_tradnl"/>
        </w:rPr>
        <w:t xml:space="preserve"> lo que le debe</w:t>
      </w:r>
      <w:r w:rsidR="00153728" w:rsidRPr="00233C37">
        <w:rPr>
          <w:rFonts w:ascii="Book Antiqua" w:hAnsi="Book Antiqua"/>
          <w:lang w:val="es-ES_tradnl"/>
        </w:rPr>
        <w:t>. Todas las disposiciones requieren que la persona actúe con conocimiento; es decir, que la persona: (1) t</w:t>
      </w:r>
      <w:r w:rsidR="005C621F" w:rsidRPr="00233C37">
        <w:rPr>
          <w:rFonts w:ascii="Book Antiqua" w:hAnsi="Book Antiqua"/>
          <w:lang w:val="es-ES_tradnl"/>
        </w:rPr>
        <w:t>enga</w:t>
      </w:r>
      <w:r w:rsidR="00153728" w:rsidRPr="00233C37">
        <w:rPr>
          <w:rFonts w:ascii="Book Antiqua" w:hAnsi="Book Antiqua"/>
          <w:lang w:val="es-ES_tradnl"/>
        </w:rPr>
        <w:t xml:space="preserve"> conocimiento personal de la información; (2) actú</w:t>
      </w:r>
      <w:r w:rsidR="005C621F" w:rsidRPr="00233C37">
        <w:rPr>
          <w:rFonts w:ascii="Book Antiqua" w:hAnsi="Book Antiqua"/>
          <w:lang w:val="es-ES_tradnl"/>
        </w:rPr>
        <w:t>e</w:t>
      </w:r>
      <w:r w:rsidR="00153728" w:rsidRPr="00233C37">
        <w:rPr>
          <w:rFonts w:ascii="Book Antiqua" w:hAnsi="Book Antiqua"/>
          <w:lang w:val="es-ES_tradnl"/>
        </w:rPr>
        <w:t xml:space="preserve"> con deliberada ignorancia sobre la verdad o la falsedad de la información; o (3) act</w:t>
      </w:r>
      <w:r w:rsidR="005C621F" w:rsidRPr="00233C37">
        <w:rPr>
          <w:rFonts w:ascii="Book Antiqua" w:hAnsi="Book Antiqua"/>
          <w:lang w:val="es-ES_tradnl"/>
        </w:rPr>
        <w:t>úe</w:t>
      </w:r>
      <w:r w:rsidR="00153728" w:rsidRPr="00233C37">
        <w:rPr>
          <w:rFonts w:ascii="Book Antiqua" w:hAnsi="Book Antiqua"/>
          <w:lang w:val="es-ES_tradnl"/>
        </w:rPr>
        <w:t xml:space="preserve"> con desprecio temerario a la verdad o a la falsedad de la información. Al igual que en la FCA, la parte demandada está sujeta a una penalidad civil de no menos de $11,181 y no más de $22,363.  Asimismo, </w:t>
      </w:r>
      <w:r w:rsidR="005C621F" w:rsidRPr="00233C37">
        <w:rPr>
          <w:rFonts w:ascii="Book Antiqua" w:hAnsi="Book Antiqua"/>
          <w:lang w:val="es-ES_tradnl"/>
        </w:rPr>
        <w:t>podrá</w:t>
      </w:r>
      <w:r w:rsidR="00153728" w:rsidRPr="00233C37">
        <w:rPr>
          <w:rFonts w:ascii="Book Antiqua" w:hAnsi="Book Antiqua"/>
          <w:lang w:val="es-ES_tradnl"/>
        </w:rPr>
        <w:t xml:space="preserve"> pagar tres veces la cantidad de los daños que haya recibido el Gobierno a consecuencia de sus actos. </w:t>
      </w:r>
    </w:p>
    <w:p w14:paraId="761EB10F" w14:textId="77777777" w:rsidR="0030316E" w:rsidRPr="008D44BD" w:rsidRDefault="0030316E" w:rsidP="0030316E">
      <w:pPr>
        <w:ind w:firstLine="360"/>
        <w:jc w:val="both"/>
        <w:rPr>
          <w:rFonts w:ascii="Book Antiqua" w:hAnsi="Book Antiqua"/>
          <w:sz w:val="16"/>
          <w:szCs w:val="16"/>
          <w:lang w:val="es-ES_tradnl"/>
        </w:rPr>
      </w:pPr>
    </w:p>
    <w:p w14:paraId="02A3875E" w14:textId="477F9875" w:rsidR="00153728" w:rsidRDefault="00153728" w:rsidP="0030316E">
      <w:pPr>
        <w:ind w:firstLine="360"/>
        <w:jc w:val="both"/>
        <w:rPr>
          <w:rFonts w:ascii="Book Antiqua" w:hAnsi="Book Antiqua"/>
          <w:lang w:val="es-ES_tradnl"/>
        </w:rPr>
      </w:pPr>
      <w:r w:rsidRPr="00153728">
        <w:rPr>
          <w:rFonts w:ascii="Book Antiqua" w:hAnsi="Book Antiqua"/>
          <w:lang w:val="es-ES_tradnl"/>
        </w:rPr>
        <w:t xml:space="preserve">La acción civil contra la persona que ha violado o está violando esta </w:t>
      </w:r>
      <w:r w:rsidR="00461521">
        <w:rPr>
          <w:rFonts w:ascii="Book Antiqua" w:hAnsi="Book Antiqua"/>
          <w:lang w:val="es-ES_tradnl"/>
        </w:rPr>
        <w:t>L</w:t>
      </w:r>
      <w:r w:rsidRPr="00153728">
        <w:rPr>
          <w:rFonts w:ascii="Book Antiqua" w:hAnsi="Book Antiqua"/>
          <w:lang w:val="es-ES_tradnl"/>
        </w:rPr>
        <w:t xml:space="preserve">ey puede ser presentada por el </w:t>
      </w:r>
      <w:proofErr w:type="gramStart"/>
      <w:r w:rsidRPr="00153728">
        <w:rPr>
          <w:rFonts w:ascii="Book Antiqua" w:hAnsi="Book Antiqua"/>
          <w:lang w:val="es-ES_tradnl"/>
        </w:rPr>
        <w:t>Secretario</w:t>
      </w:r>
      <w:proofErr w:type="gramEnd"/>
      <w:r w:rsidRPr="00153728">
        <w:rPr>
          <w:rFonts w:ascii="Book Antiqua" w:hAnsi="Book Antiqua"/>
          <w:lang w:val="es-ES_tradnl"/>
        </w:rPr>
        <w:t xml:space="preserve"> de Justicia de Puerto Rico, por una persona designada por este o por cualquier persona en carácter de delator.  La ley define al delator como aquella persona que presentó la demanda o proveyó la información que da raíz a la causa de acción como informante o </w:t>
      </w:r>
      <w:proofErr w:type="spellStart"/>
      <w:r w:rsidRPr="00153728">
        <w:rPr>
          <w:rFonts w:ascii="Book Antiqua" w:hAnsi="Book Antiqua"/>
          <w:i/>
          <w:iCs/>
          <w:lang w:val="es-ES_tradnl"/>
        </w:rPr>
        <w:t>whistleblower</w:t>
      </w:r>
      <w:proofErr w:type="spellEnd"/>
      <w:r w:rsidRPr="00153728">
        <w:rPr>
          <w:rFonts w:ascii="Book Antiqua" w:hAnsi="Book Antiqua"/>
          <w:lang w:val="es-ES_tradnl"/>
        </w:rPr>
        <w:t xml:space="preserve">.  </w:t>
      </w:r>
      <w:r>
        <w:rPr>
          <w:rFonts w:ascii="Book Antiqua" w:hAnsi="Book Antiqua"/>
          <w:lang w:val="es-ES_tradnl"/>
        </w:rPr>
        <w:t>Actualmente, s</w:t>
      </w:r>
      <w:r w:rsidRPr="00153728">
        <w:rPr>
          <w:rFonts w:ascii="Book Antiqua" w:hAnsi="Book Antiqua"/>
          <w:lang w:val="es-ES_tradnl"/>
        </w:rPr>
        <w:t xml:space="preserve">i la acción es presentada por dicha parte, el </w:t>
      </w:r>
      <w:r w:rsidR="005C621F">
        <w:rPr>
          <w:rFonts w:ascii="Book Antiqua" w:hAnsi="Book Antiqua"/>
          <w:lang w:val="es-ES_tradnl"/>
        </w:rPr>
        <w:t>G</w:t>
      </w:r>
      <w:r w:rsidRPr="00153728">
        <w:rPr>
          <w:rFonts w:ascii="Book Antiqua" w:hAnsi="Book Antiqua"/>
          <w:lang w:val="es-ES_tradnl"/>
        </w:rPr>
        <w:t xml:space="preserve">obierno tendrá que decidir si intervendrá o no en el pleito. De ordinario, si el </w:t>
      </w:r>
      <w:r w:rsidR="005C621F">
        <w:rPr>
          <w:rFonts w:ascii="Book Antiqua" w:hAnsi="Book Antiqua"/>
          <w:lang w:val="es-ES_tradnl"/>
        </w:rPr>
        <w:t>G</w:t>
      </w:r>
      <w:r w:rsidRPr="00153728">
        <w:rPr>
          <w:rFonts w:ascii="Book Antiqua" w:hAnsi="Book Antiqua"/>
          <w:lang w:val="es-ES_tradnl"/>
        </w:rPr>
        <w:t xml:space="preserve">obierno opta por proceder con la causa de acción, el delator tendrá derecho a recibir no menos de 15% pero no más del 25% de la cuantía recuperada por </w:t>
      </w:r>
      <w:r w:rsidRPr="00233C37">
        <w:rPr>
          <w:rFonts w:ascii="Book Antiqua" w:hAnsi="Book Antiqua"/>
          <w:lang w:val="es-ES_tradnl"/>
        </w:rPr>
        <w:t>el</w:t>
      </w:r>
      <w:r w:rsidR="00DD22C7" w:rsidRPr="00233C37">
        <w:rPr>
          <w:rFonts w:ascii="Book Antiqua" w:hAnsi="Book Antiqua"/>
          <w:lang w:val="es-ES_tradnl"/>
        </w:rPr>
        <w:t xml:space="preserve"> Gobierno</w:t>
      </w:r>
      <w:r w:rsidRPr="00233C37">
        <w:rPr>
          <w:rFonts w:ascii="Book Antiqua" w:hAnsi="Book Antiqua"/>
          <w:lang w:val="es-ES_tradnl"/>
        </w:rPr>
        <w:t>.  Si este no interviene, el delator recibirá no menos del 25% y no más del 30% del monto de la</w:t>
      </w:r>
      <w:r w:rsidRPr="00153728">
        <w:rPr>
          <w:rFonts w:ascii="Book Antiqua" w:hAnsi="Book Antiqua"/>
          <w:lang w:val="es-ES_tradnl"/>
        </w:rPr>
        <w:t xml:space="preserve"> sentencia impuesta por el tribunal. </w:t>
      </w:r>
    </w:p>
    <w:p w14:paraId="3E2ABD8A" w14:textId="77777777" w:rsidR="0030316E" w:rsidRPr="008D44BD" w:rsidRDefault="0030316E" w:rsidP="0030316E">
      <w:pPr>
        <w:ind w:firstLine="360"/>
        <w:jc w:val="both"/>
        <w:rPr>
          <w:rFonts w:ascii="Book Antiqua" w:hAnsi="Book Antiqua"/>
          <w:sz w:val="16"/>
          <w:szCs w:val="16"/>
          <w:lang w:val="es-ES_tradnl"/>
        </w:rPr>
      </w:pPr>
    </w:p>
    <w:p w14:paraId="46A405FA" w14:textId="30B989B3" w:rsidR="0030316E" w:rsidRDefault="00153728" w:rsidP="0030316E">
      <w:pPr>
        <w:ind w:firstLine="360"/>
        <w:jc w:val="both"/>
        <w:rPr>
          <w:rFonts w:ascii="Book Antiqua" w:hAnsi="Book Antiqua"/>
          <w:lang w:val="es-ES_tradnl"/>
        </w:rPr>
      </w:pPr>
      <w:r>
        <w:rPr>
          <w:rFonts w:ascii="Book Antiqua" w:hAnsi="Book Antiqua"/>
          <w:lang w:val="es-ES_tradnl"/>
        </w:rPr>
        <w:t xml:space="preserve">En cuanto a las protecciones para el delator, la ley hace referencia al </w:t>
      </w:r>
      <w:r w:rsidR="00DD22C7" w:rsidRPr="002B3643">
        <w:rPr>
          <w:rFonts w:ascii="Book Antiqua" w:hAnsi="Book Antiqua"/>
          <w:i/>
          <w:iCs/>
          <w:lang w:val="es-ES_tradnl"/>
        </w:rPr>
        <w:t>“</w:t>
      </w:r>
      <w:r w:rsidRPr="002B3643">
        <w:rPr>
          <w:rFonts w:ascii="Book Antiqua" w:hAnsi="Book Antiqua"/>
          <w:lang w:val="es-ES_tradnl"/>
        </w:rPr>
        <w:t>Código</w:t>
      </w:r>
      <w:r>
        <w:rPr>
          <w:rFonts w:ascii="Book Antiqua" w:hAnsi="Book Antiqua"/>
          <w:lang w:val="es-ES_tradnl"/>
        </w:rPr>
        <w:t xml:space="preserve"> de Anticorrupción para el Nuevo Puerto Ric</w:t>
      </w:r>
      <w:r w:rsidRPr="002B3643">
        <w:rPr>
          <w:rFonts w:ascii="Book Antiqua" w:hAnsi="Book Antiqua"/>
          <w:lang w:val="es-ES_tradnl"/>
        </w:rPr>
        <w:t>o</w:t>
      </w:r>
      <w:r w:rsidR="00DD22C7" w:rsidRPr="002B3643">
        <w:rPr>
          <w:rFonts w:ascii="Book Antiqua" w:hAnsi="Book Antiqua"/>
          <w:i/>
          <w:iCs/>
          <w:lang w:val="es-ES_tradnl"/>
        </w:rPr>
        <w:t>”</w:t>
      </w:r>
      <w:r w:rsidRPr="002B3643">
        <w:rPr>
          <w:rFonts w:ascii="Book Antiqua" w:hAnsi="Book Antiqua"/>
          <w:lang w:val="es-ES_tradnl"/>
        </w:rPr>
        <w:t>.</w:t>
      </w:r>
      <w:r>
        <w:rPr>
          <w:rFonts w:ascii="Book Antiqua" w:hAnsi="Book Antiqua"/>
          <w:lang w:val="es-ES_tradnl"/>
        </w:rPr>
        <w:t xml:space="preserve"> Dicho estatuto</w:t>
      </w:r>
      <w:r w:rsidRPr="00153728">
        <w:rPr>
          <w:rFonts w:ascii="Book Antiqua" w:hAnsi="Book Antiqua"/>
          <w:lang w:val="es-ES_tradnl"/>
        </w:rPr>
        <w:t xml:space="preserve"> dispone que no se podrá hostigar, discriminar, despedir, amenazar o suspender algún beneficio, derecho o protección a una persona por esta haber provisto información, cooperado o fungido como testigo en cualquier investigación que conduzca a una denuncia, acusación, convicción, acción civil o administrativa, por conducta relacionada con el uso ilegal de propiedad o fondos públicos.  De igual forma, se prohíbe despedir, amenazar, discriminar, o tomar alguna otra represalia contra una persona con relación a los términos, condiciones, compensación, ubicación, beneficios, protecciones o privilegios de su empleo, por esta ofrecer –o intentar ofrecer– cualquier testimonio, expresión o información sobre alegados actos impropios o ilegales en el uso de propiedad y fondos públicos, o actos constitutivos de corrupción. Es decir, esta disposición hace énfasis en </w:t>
      </w:r>
      <w:r>
        <w:rPr>
          <w:rFonts w:ascii="Book Antiqua" w:hAnsi="Book Antiqua"/>
          <w:lang w:val="es-ES_tradnl"/>
        </w:rPr>
        <w:t>el</w:t>
      </w:r>
      <w:r w:rsidRPr="00153728">
        <w:rPr>
          <w:rFonts w:ascii="Book Antiqua" w:hAnsi="Book Antiqua"/>
          <w:lang w:val="es-ES_tradnl"/>
        </w:rPr>
        <w:t xml:space="preserve"> ámbito laboral de la persona </w:t>
      </w:r>
      <w:r w:rsidRPr="00233C37">
        <w:rPr>
          <w:rFonts w:ascii="Book Antiqua" w:hAnsi="Book Antiqua"/>
          <w:lang w:val="es-ES_tradnl"/>
        </w:rPr>
        <w:t xml:space="preserve">informante. Finalmente, se prohíbe que un funcionario o empleado público </w:t>
      </w:r>
      <w:r w:rsidR="00CB0934" w:rsidRPr="00233C37">
        <w:rPr>
          <w:rFonts w:ascii="Book Antiqua" w:hAnsi="Book Antiqua"/>
          <w:lang w:val="es-ES_tradnl"/>
        </w:rPr>
        <w:t xml:space="preserve">con </w:t>
      </w:r>
      <w:r w:rsidRPr="00233C37">
        <w:rPr>
          <w:rFonts w:ascii="Book Antiqua" w:hAnsi="Book Antiqua"/>
          <w:lang w:val="es-ES_tradnl"/>
        </w:rPr>
        <w:t xml:space="preserve">autoridad para influir, recomendar o aprobar cualquier acción, tome decisiones adversas o discriminatorias contra otro empleado o funcionario público por razones relacionadas a su denegatoria a ser cómplice de actos ilegales; su cooperación en la investigación de dichos actos; y al ejercicio de sus derechos bajo el Código y cualquier otra ley, regla o </w:t>
      </w:r>
      <w:r w:rsidRPr="00233C37">
        <w:rPr>
          <w:rFonts w:ascii="Book Antiqua" w:hAnsi="Book Antiqua"/>
          <w:lang w:val="es-ES_tradnl"/>
        </w:rPr>
        <w:lastRenderedPageBreak/>
        <w:t>reglamento. Las personas que violen estas disposiciones incurrirán en delito grave –que no prescribirá–, y podrán ser convictas por pena de multa de $5,000.00 o pena de reclusión por un término fijo de tres años</w:t>
      </w:r>
      <w:r w:rsidR="00461521">
        <w:rPr>
          <w:rFonts w:ascii="Book Antiqua" w:hAnsi="Book Antiqua"/>
          <w:lang w:val="es-ES_tradnl"/>
        </w:rPr>
        <w:t xml:space="preserve"> o ambas penas</w:t>
      </w:r>
      <w:r w:rsidRPr="00233C37">
        <w:rPr>
          <w:rFonts w:ascii="Book Antiqua" w:hAnsi="Book Antiqua"/>
          <w:lang w:val="es-ES_tradnl"/>
        </w:rPr>
        <w:t>.  La persona que alegue una violación a las disposiciones anteriores podrá instar una acción civil en contra del victimario y solicitar que este le compense por los daños, angustias mentales, el triple de los salarios dejados de devengar, así como cualquier otro beneficio que haya dejado de recibir.</w:t>
      </w:r>
      <w:r w:rsidRPr="00153728">
        <w:rPr>
          <w:rFonts w:ascii="Book Antiqua" w:hAnsi="Book Antiqua"/>
          <w:lang w:val="es-ES_tradnl"/>
        </w:rPr>
        <w:t xml:space="preserve">  </w:t>
      </w:r>
    </w:p>
    <w:p w14:paraId="0344D96A" w14:textId="1D862449" w:rsidR="00153728" w:rsidRPr="008D44BD" w:rsidRDefault="00153728" w:rsidP="0030316E">
      <w:pPr>
        <w:ind w:firstLine="360"/>
        <w:jc w:val="both"/>
        <w:rPr>
          <w:rFonts w:ascii="Book Antiqua" w:hAnsi="Book Antiqua"/>
          <w:sz w:val="16"/>
          <w:szCs w:val="16"/>
          <w:lang w:val="es-ES_tradnl"/>
        </w:rPr>
      </w:pPr>
      <w:r w:rsidRPr="00153728">
        <w:rPr>
          <w:rFonts w:ascii="Book Antiqua" w:hAnsi="Book Antiqua"/>
          <w:lang w:val="es-ES_tradnl"/>
        </w:rPr>
        <w:t xml:space="preserve"> </w:t>
      </w:r>
    </w:p>
    <w:p w14:paraId="248D3528" w14:textId="54D84C36" w:rsidR="00153728" w:rsidRPr="00233C37" w:rsidRDefault="00D26D3B" w:rsidP="0030316E">
      <w:pPr>
        <w:ind w:firstLine="360"/>
        <w:jc w:val="both"/>
        <w:rPr>
          <w:rFonts w:ascii="Book Antiqua" w:hAnsi="Book Antiqua"/>
          <w:lang w:val="es-ES_tradnl"/>
        </w:rPr>
      </w:pPr>
      <w:r w:rsidRPr="00233C37">
        <w:rPr>
          <w:rFonts w:ascii="Book Antiqua" w:hAnsi="Book Antiqua"/>
          <w:lang w:val="es-ES_tradnl"/>
        </w:rPr>
        <w:t>En Puerto Rico, la corrupción es un problema patente, especialmente en el ámbito gubernamental. En los pasados años, varios funcionarios públicos han sido acusados por abusar de su poder para obtener beneficios personales. No obstante, p</w:t>
      </w:r>
      <w:r w:rsidR="00E001A6" w:rsidRPr="00233C37">
        <w:rPr>
          <w:rFonts w:ascii="Book Antiqua" w:hAnsi="Book Antiqua"/>
          <w:lang w:val="es-ES_tradnl"/>
        </w:rPr>
        <w:t xml:space="preserve">enalizar </w:t>
      </w:r>
      <w:r w:rsidRPr="00233C37">
        <w:rPr>
          <w:rFonts w:ascii="Book Antiqua" w:hAnsi="Book Antiqua"/>
          <w:lang w:val="es-ES_tradnl"/>
        </w:rPr>
        <w:t xml:space="preserve">estos actos </w:t>
      </w:r>
      <w:r w:rsidR="006978F6" w:rsidRPr="00233C37">
        <w:rPr>
          <w:rFonts w:ascii="Book Antiqua" w:hAnsi="Book Antiqua"/>
          <w:lang w:val="es-ES_tradnl"/>
        </w:rPr>
        <w:t>presenta</w:t>
      </w:r>
      <w:r w:rsidR="00E001A6" w:rsidRPr="00233C37">
        <w:rPr>
          <w:rFonts w:ascii="Book Antiqua" w:hAnsi="Book Antiqua"/>
          <w:lang w:val="es-ES_tradnl"/>
        </w:rPr>
        <w:t xml:space="preserve"> grandes retos</w:t>
      </w:r>
      <w:r w:rsidR="006978F6" w:rsidRPr="00233C37">
        <w:rPr>
          <w:rFonts w:ascii="Book Antiqua" w:hAnsi="Book Antiqua"/>
          <w:lang w:val="es-ES_tradnl"/>
        </w:rPr>
        <w:t>, p</w:t>
      </w:r>
      <w:r w:rsidR="00E001A6" w:rsidRPr="00233C37">
        <w:rPr>
          <w:rFonts w:ascii="Book Antiqua" w:hAnsi="Book Antiqua"/>
          <w:lang w:val="es-ES_tradnl"/>
        </w:rPr>
        <w:t xml:space="preserve">rimero, porque la mayoría de las partes involucradas en estos esquemas ostenta algún grado de poder </w:t>
      </w:r>
      <w:r w:rsidR="006978F6" w:rsidRPr="00233C37">
        <w:rPr>
          <w:rFonts w:ascii="Book Antiqua" w:hAnsi="Book Antiqua"/>
          <w:lang w:val="es-ES_tradnl"/>
        </w:rPr>
        <w:t>–</w:t>
      </w:r>
      <w:r w:rsidR="00E001A6" w:rsidRPr="00233C37">
        <w:rPr>
          <w:rFonts w:ascii="Book Antiqua" w:hAnsi="Book Antiqua"/>
          <w:lang w:val="es-ES_tradnl"/>
        </w:rPr>
        <w:t xml:space="preserve">ya sea por </w:t>
      </w:r>
      <w:r w:rsidR="006978F6" w:rsidRPr="00233C37">
        <w:rPr>
          <w:rFonts w:ascii="Book Antiqua" w:hAnsi="Book Antiqua"/>
          <w:lang w:val="es-ES_tradnl"/>
        </w:rPr>
        <w:t xml:space="preserve">su </w:t>
      </w:r>
      <w:r w:rsidR="00E001A6" w:rsidRPr="00233C37">
        <w:rPr>
          <w:rFonts w:ascii="Book Antiqua" w:hAnsi="Book Antiqua"/>
          <w:lang w:val="es-ES_tradnl"/>
        </w:rPr>
        <w:t>puesto</w:t>
      </w:r>
      <w:r w:rsidR="006978F6" w:rsidRPr="00233C37">
        <w:rPr>
          <w:rFonts w:ascii="Book Antiqua" w:hAnsi="Book Antiqua"/>
          <w:lang w:val="es-ES_tradnl"/>
        </w:rPr>
        <w:t xml:space="preserve"> gubernamental</w:t>
      </w:r>
      <w:r w:rsidR="00E001A6" w:rsidRPr="00233C37">
        <w:rPr>
          <w:rFonts w:ascii="Book Antiqua" w:hAnsi="Book Antiqua"/>
          <w:lang w:val="es-ES_tradnl"/>
        </w:rPr>
        <w:t xml:space="preserve"> o por su posición económica</w:t>
      </w:r>
      <w:r w:rsidR="006978F6" w:rsidRPr="00233C37">
        <w:rPr>
          <w:rFonts w:ascii="Book Antiqua" w:hAnsi="Book Antiqua"/>
          <w:lang w:val="es-ES_tradnl"/>
        </w:rPr>
        <w:t>–</w:t>
      </w:r>
      <w:r w:rsidR="00E001A6" w:rsidRPr="00233C37">
        <w:rPr>
          <w:rFonts w:ascii="Book Antiqua" w:hAnsi="Book Antiqua"/>
          <w:lang w:val="es-ES_tradnl"/>
        </w:rPr>
        <w:t xml:space="preserve">. Segundo, porque estos son realizados </w:t>
      </w:r>
      <w:r w:rsidR="006978F6" w:rsidRPr="00233C37">
        <w:rPr>
          <w:rFonts w:ascii="Book Antiqua" w:hAnsi="Book Antiqua"/>
          <w:lang w:val="es-ES_tradnl"/>
        </w:rPr>
        <w:t xml:space="preserve">en </w:t>
      </w:r>
      <w:r w:rsidRPr="00233C37">
        <w:rPr>
          <w:rFonts w:ascii="Book Antiqua" w:hAnsi="Book Antiqua"/>
          <w:lang w:val="es-ES_tradnl"/>
        </w:rPr>
        <w:t xml:space="preserve">conjunto, en </w:t>
      </w:r>
      <w:r w:rsidR="006978F6" w:rsidRPr="00233C37">
        <w:rPr>
          <w:rFonts w:ascii="Book Antiqua" w:hAnsi="Book Antiqua"/>
          <w:lang w:val="es-ES_tradnl"/>
        </w:rPr>
        <w:t>búsqueda de beneficios para</w:t>
      </w:r>
      <w:r w:rsidR="00E001A6" w:rsidRPr="00233C37">
        <w:rPr>
          <w:rFonts w:ascii="Book Antiqua" w:hAnsi="Book Antiqua"/>
          <w:lang w:val="es-ES_tradnl"/>
        </w:rPr>
        <w:t xml:space="preserve"> todas las partes envueltas</w:t>
      </w:r>
      <w:r w:rsidR="006978F6" w:rsidRPr="00233C37">
        <w:rPr>
          <w:rFonts w:ascii="Book Antiqua" w:hAnsi="Book Antiqua"/>
          <w:lang w:val="es-ES_tradnl"/>
        </w:rPr>
        <w:t>.</w:t>
      </w:r>
      <w:r w:rsidR="00E001A6" w:rsidRPr="00233C37">
        <w:rPr>
          <w:rFonts w:ascii="Book Antiqua" w:hAnsi="Book Antiqua"/>
          <w:lang w:val="es-ES_tradnl"/>
        </w:rPr>
        <w:t xml:space="preserve"> </w:t>
      </w:r>
      <w:r w:rsidR="006978F6" w:rsidRPr="00233C37">
        <w:rPr>
          <w:rFonts w:ascii="Book Antiqua" w:hAnsi="Book Antiqua"/>
          <w:lang w:val="es-ES_tradnl"/>
        </w:rPr>
        <w:t>P</w:t>
      </w:r>
      <w:r w:rsidR="00E001A6" w:rsidRPr="00233C37">
        <w:rPr>
          <w:rFonts w:ascii="Book Antiqua" w:hAnsi="Book Antiqua"/>
          <w:lang w:val="es-ES_tradnl"/>
        </w:rPr>
        <w:t xml:space="preserve">or consiguiente, entre estas no </w:t>
      </w:r>
      <w:r w:rsidR="006978F6" w:rsidRPr="00233C37">
        <w:rPr>
          <w:rFonts w:ascii="Book Antiqua" w:hAnsi="Book Antiqua"/>
          <w:lang w:val="es-ES_tradnl"/>
        </w:rPr>
        <w:t>existe</w:t>
      </w:r>
      <w:r w:rsidR="00E001A6" w:rsidRPr="00233C37">
        <w:rPr>
          <w:rFonts w:ascii="Book Antiqua" w:hAnsi="Book Antiqua"/>
          <w:lang w:val="es-ES_tradnl"/>
        </w:rPr>
        <w:t xml:space="preserve"> interés en denunciar el acto</w:t>
      </w:r>
      <w:r w:rsidR="006978F6" w:rsidRPr="00233C37">
        <w:rPr>
          <w:rFonts w:ascii="Book Antiqua" w:hAnsi="Book Antiqua"/>
          <w:lang w:val="es-ES_tradnl"/>
        </w:rPr>
        <w:t xml:space="preserve">; más bien, dichas partes se protegen entre sí. </w:t>
      </w:r>
      <w:r w:rsidR="00CD53AF" w:rsidRPr="00233C37">
        <w:rPr>
          <w:rFonts w:ascii="Book Antiqua" w:hAnsi="Book Antiqua"/>
          <w:lang w:val="es-ES_tradnl"/>
        </w:rPr>
        <w:t xml:space="preserve"> Ante estas realidades, esta </w:t>
      </w:r>
      <w:r w:rsidR="005F772F" w:rsidRPr="00233C37">
        <w:rPr>
          <w:rFonts w:ascii="Book Antiqua" w:hAnsi="Book Antiqua"/>
          <w:lang w:val="es-ES_tradnl"/>
        </w:rPr>
        <w:t xml:space="preserve">Ley </w:t>
      </w:r>
      <w:r w:rsidR="00CD53AF" w:rsidRPr="00233C37">
        <w:rPr>
          <w:rFonts w:ascii="Book Antiqua" w:hAnsi="Book Antiqua"/>
          <w:lang w:val="es-ES_tradnl"/>
        </w:rPr>
        <w:t>propone</w:t>
      </w:r>
      <w:r w:rsidR="00E001A6" w:rsidRPr="00233C37">
        <w:rPr>
          <w:rFonts w:ascii="Book Antiqua" w:hAnsi="Book Antiqua"/>
          <w:lang w:val="es-ES_tradnl"/>
        </w:rPr>
        <w:t xml:space="preserve"> limitar la intervención del Gobierno </w:t>
      </w:r>
      <w:r w:rsidR="006978F6" w:rsidRPr="00233C37">
        <w:rPr>
          <w:rFonts w:ascii="Book Antiqua" w:hAnsi="Book Antiqua"/>
          <w:lang w:val="es-ES_tradnl"/>
        </w:rPr>
        <w:t xml:space="preserve">en los pleitos presentados por personas privadas </w:t>
      </w:r>
      <w:r w:rsidR="00CD53AF" w:rsidRPr="00233C37">
        <w:rPr>
          <w:rFonts w:ascii="Book Antiqua" w:hAnsi="Book Antiqua"/>
          <w:lang w:val="es-ES_tradnl"/>
        </w:rPr>
        <w:t>bajo</w:t>
      </w:r>
      <w:r w:rsidR="006978F6" w:rsidRPr="00233C37">
        <w:rPr>
          <w:rFonts w:ascii="Book Antiqua" w:hAnsi="Book Antiqua"/>
          <w:lang w:val="es-ES_tradnl"/>
        </w:rPr>
        <w:t xml:space="preserve"> la Ley 154-2018</w:t>
      </w:r>
      <w:r w:rsidR="005F772F" w:rsidRPr="00233C37">
        <w:rPr>
          <w:rFonts w:ascii="Book Antiqua" w:hAnsi="Book Antiqua"/>
          <w:lang w:val="es-ES_tradnl"/>
        </w:rPr>
        <w:t>, según enmendada</w:t>
      </w:r>
      <w:r w:rsidR="00E001A6" w:rsidRPr="00233C37">
        <w:rPr>
          <w:rFonts w:ascii="Book Antiqua" w:hAnsi="Book Antiqua"/>
          <w:lang w:val="es-ES_tradnl"/>
        </w:rPr>
        <w:t xml:space="preserve">. </w:t>
      </w:r>
      <w:r w:rsidR="00CD53AF" w:rsidRPr="00233C37">
        <w:rPr>
          <w:rFonts w:ascii="Book Antiqua" w:hAnsi="Book Antiqua"/>
          <w:lang w:val="es-ES_tradnl"/>
        </w:rPr>
        <w:t>Para ello,</w:t>
      </w:r>
      <w:r w:rsidR="006978F6" w:rsidRPr="00233C37">
        <w:rPr>
          <w:rFonts w:ascii="Book Antiqua" w:hAnsi="Book Antiqua"/>
          <w:lang w:val="es-ES_tradnl"/>
        </w:rPr>
        <w:t xml:space="preserve"> </w:t>
      </w:r>
      <w:r w:rsidR="00CD53AF" w:rsidRPr="00233C37">
        <w:rPr>
          <w:rFonts w:ascii="Book Antiqua" w:hAnsi="Book Antiqua"/>
          <w:lang w:val="es-ES_tradnl"/>
        </w:rPr>
        <w:t>se enmiendan</w:t>
      </w:r>
      <w:r w:rsidR="005F772F" w:rsidRPr="00233C37">
        <w:rPr>
          <w:rFonts w:ascii="Book Antiqua" w:hAnsi="Book Antiqua"/>
          <w:lang w:val="es-ES_tradnl"/>
        </w:rPr>
        <w:t xml:space="preserve"> sus Artículos 4.02; 4.03 y 4.05</w:t>
      </w:r>
      <w:r w:rsidR="00CD53AF" w:rsidRPr="00233C37">
        <w:rPr>
          <w:rFonts w:ascii="Book Antiqua" w:hAnsi="Book Antiqua"/>
          <w:lang w:val="es-ES_tradnl"/>
        </w:rPr>
        <w:t xml:space="preserve"> </w:t>
      </w:r>
      <w:r w:rsidR="00740744" w:rsidRPr="00233C37">
        <w:rPr>
          <w:rFonts w:ascii="Book Antiqua" w:hAnsi="Book Antiqua"/>
          <w:lang w:val="es-ES_tradnl"/>
        </w:rPr>
        <w:t>con la finalidad de que el Gobierno</w:t>
      </w:r>
      <w:r w:rsidR="00CD53AF" w:rsidRPr="00233C37">
        <w:rPr>
          <w:rFonts w:ascii="Book Antiqua" w:hAnsi="Book Antiqua"/>
          <w:lang w:val="es-ES_tradnl"/>
        </w:rPr>
        <w:t xml:space="preserve"> no pueda apoderarse del litigio, y como consecuencia, que </w:t>
      </w:r>
      <w:r w:rsidR="00E001A6" w:rsidRPr="00233C37">
        <w:rPr>
          <w:rFonts w:ascii="Book Antiqua" w:hAnsi="Book Antiqua"/>
          <w:lang w:val="es-ES_tradnl"/>
        </w:rPr>
        <w:t>las decisiones más importantes reca</w:t>
      </w:r>
      <w:r w:rsidR="00CD53AF" w:rsidRPr="00233C37">
        <w:rPr>
          <w:rFonts w:ascii="Book Antiqua" w:hAnsi="Book Antiqua"/>
          <w:lang w:val="es-ES_tradnl"/>
        </w:rPr>
        <w:t>igan</w:t>
      </w:r>
      <w:r w:rsidR="00E001A6" w:rsidRPr="00233C37">
        <w:rPr>
          <w:rFonts w:ascii="Book Antiqua" w:hAnsi="Book Antiqua"/>
          <w:lang w:val="es-ES_tradnl"/>
        </w:rPr>
        <w:t xml:space="preserve"> en </w:t>
      </w:r>
      <w:r w:rsidR="00CD53AF" w:rsidRPr="00233C37">
        <w:rPr>
          <w:rFonts w:ascii="Book Antiqua" w:hAnsi="Book Antiqua"/>
          <w:lang w:val="es-ES_tradnl"/>
        </w:rPr>
        <w:t xml:space="preserve">el </w:t>
      </w:r>
      <w:r w:rsidR="00E001A6" w:rsidRPr="00233C37">
        <w:rPr>
          <w:rFonts w:ascii="Book Antiqua" w:hAnsi="Book Antiqua"/>
          <w:lang w:val="es-ES_tradnl"/>
        </w:rPr>
        <w:t xml:space="preserve">delator o </w:t>
      </w:r>
      <w:r w:rsidR="00CD53AF" w:rsidRPr="00233C37">
        <w:rPr>
          <w:rFonts w:ascii="Book Antiqua" w:hAnsi="Book Antiqua"/>
          <w:lang w:val="es-ES_tradnl"/>
        </w:rPr>
        <w:t xml:space="preserve">la </w:t>
      </w:r>
      <w:r w:rsidR="00E001A6" w:rsidRPr="00233C37">
        <w:rPr>
          <w:rFonts w:ascii="Book Antiqua" w:hAnsi="Book Antiqua"/>
          <w:lang w:val="es-ES_tradnl"/>
        </w:rPr>
        <w:t xml:space="preserve">delatora. </w:t>
      </w:r>
      <w:r w:rsidR="003E7840" w:rsidRPr="00233C37">
        <w:rPr>
          <w:rFonts w:ascii="Book Antiqua" w:hAnsi="Book Antiqua"/>
          <w:lang w:val="es-ES_tradnl"/>
        </w:rPr>
        <w:t xml:space="preserve">Esta </w:t>
      </w:r>
      <w:r w:rsidR="00CD53AF" w:rsidRPr="00233C37">
        <w:rPr>
          <w:rFonts w:ascii="Book Antiqua" w:hAnsi="Book Antiqua"/>
          <w:lang w:val="es-ES_tradnl"/>
        </w:rPr>
        <w:t xml:space="preserve">propuesta es </w:t>
      </w:r>
      <w:r w:rsidR="003E7840" w:rsidRPr="00233C37">
        <w:rPr>
          <w:rFonts w:ascii="Book Antiqua" w:hAnsi="Book Antiqua"/>
          <w:lang w:val="es-ES_tradnl"/>
        </w:rPr>
        <w:t xml:space="preserve">a los fines de </w:t>
      </w:r>
      <w:r w:rsidR="00CD53AF" w:rsidRPr="00233C37">
        <w:rPr>
          <w:rFonts w:ascii="Book Antiqua" w:hAnsi="Book Antiqua"/>
          <w:lang w:val="es-ES_tradnl"/>
        </w:rPr>
        <w:t xml:space="preserve">limitar el poder del Gobierno, para así disminuir las probabilidades de impunidad </w:t>
      </w:r>
      <w:r w:rsidR="003E7840" w:rsidRPr="00233C37">
        <w:rPr>
          <w:rFonts w:ascii="Book Antiqua" w:hAnsi="Book Antiqua"/>
          <w:lang w:val="es-ES_tradnl"/>
        </w:rPr>
        <w:t xml:space="preserve">por </w:t>
      </w:r>
      <w:r w:rsidR="00CD53AF" w:rsidRPr="00233C37">
        <w:rPr>
          <w:rFonts w:ascii="Book Antiqua" w:hAnsi="Book Antiqua"/>
          <w:lang w:val="es-ES_tradnl"/>
        </w:rPr>
        <w:t>estos actos.</w:t>
      </w:r>
    </w:p>
    <w:p w14:paraId="75EEB5DF" w14:textId="77777777" w:rsidR="0030316E" w:rsidRPr="008D44BD" w:rsidRDefault="0030316E" w:rsidP="0030316E">
      <w:pPr>
        <w:ind w:firstLine="360"/>
        <w:jc w:val="both"/>
        <w:rPr>
          <w:rFonts w:ascii="Book Antiqua" w:hAnsi="Book Antiqua"/>
          <w:sz w:val="16"/>
          <w:szCs w:val="16"/>
          <w:lang w:val="es-ES_tradnl"/>
        </w:rPr>
      </w:pPr>
    </w:p>
    <w:p w14:paraId="24FEE58C" w14:textId="243EA98A" w:rsidR="00E001A6" w:rsidRPr="00153728" w:rsidRDefault="00E001A6" w:rsidP="0030316E">
      <w:pPr>
        <w:ind w:firstLine="360"/>
        <w:jc w:val="both"/>
        <w:rPr>
          <w:rFonts w:ascii="Book Antiqua" w:hAnsi="Book Antiqua"/>
          <w:lang w:val="es-ES_tradnl"/>
        </w:rPr>
      </w:pPr>
      <w:r w:rsidRPr="00E001A6">
        <w:rPr>
          <w:rFonts w:ascii="Book Antiqua" w:hAnsi="Book Antiqua"/>
          <w:lang w:val="es-ES_tradnl"/>
        </w:rPr>
        <w:t xml:space="preserve">Por </w:t>
      </w:r>
      <w:r w:rsidR="00C7174D">
        <w:rPr>
          <w:rFonts w:ascii="Book Antiqua" w:hAnsi="Book Antiqua"/>
          <w:lang w:val="es-ES_tradnl"/>
        </w:rPr>
        <w:t>otra parte</w:t>
      </w:r>
      <w:r w:rsidRPr="00E001A6">
        <w:rPr>
          <w:rFonts w:ascii="Book Antiqua" w:hAnsi="Book Antiqua"/>
          <w:lang w:val="es-ES_tradnl"/>
        </w:rPr>
        <w:t xml:space="preserve">, </w:t>
      </w:r>
      <w:r w:rsidR="003E7840" w:rsidRPr="00233C37">
        <w:rPr>
          <w:rFonts w:ascii="Book Antiqua" w:hAnsi="Book Antiqua"/>
          <w:lang w:val="es-ES_tradnl"/>
        </w:rPr>
        <w:t xml:space="preserve">mediante esta Ley se amplían </w:t>
      </w:r>
      <w:r w:rsidR="00814F31" w:rsidRPr="00233C37">
        <w:rPr>
          <w:rFonts w:ascii="Book Antiqua" w:hAnsi="Book Antiqua"/>
          <w:lang w:val="es-ES_tradnl"/>
        </w:rPr>
        <w:t xml:space="preserve">los derechos del delator </w:t>
      </w:r>
      <w:r w:rsidR="00CD53AF" w:rsidRPr="00233C37">
        <w:rPr>
          <w:rFonts w:ascii="Book Antiqua" w:hAnsi="Book Antiqua"/>
          <w:lang w:val="es-ES_tradnl"/>
        </w:rPr>
        <w:t>o</w:t>
      </w:r>
      <w:r w:rsidR="00CD53AF">
        <w:rPr>
          <w:rFonts w:ascii="Book Antiqua" w:hAnsi="Book Antiqua"/>
          <w:lang w:val="es-ES_tradnl"/>
        </w:rPr>
        <w:t xml:space="preserve"> delatora </w:t>
      </w:r>
      <w:r w:rsidR="00814F31" w:rsidRPr="00747923">
        <w:rPr>
          <w:rFonts w:ascii="Book Antiqua" w:hAnsi="Book Antiqua"/>
          <w:lang w:val="es-ES_tradnl"/>
        </w:rPr>
        <w:t>(</w:t>
      </w:r>
      <w:proofErr w:type="spellStart"/>
      <w:r w:rsidR="00814F31" w:rsidRPr="009C0DB0">
        <w:rPr>
          <w:rFonts w:ascii="Book Antiqua" w:hAnsi="Book Antiqua"/>
          <w:i/>
          <w:iCs/>
          <w:lang w:val="es-ES_tradnl"/>
        </w:rPr>
        <w:t>whistleblower</w:t>
      </w:r>
      <w:proofErr w:type="spellEnd"/>
      <w:r w:rsidR="00814F31" w:rsidRPr="00747923">
        <w:rPr>
          <w:rFonts w:ascii="Book Antiqua" w:hAnsi="Book Antiqua"/>
          <w:lang w:val="es-ES_tradnl"/>
        </w:rPr>
        <w:t>).</w:t>
      </w:r>
      <w:r w:rsidR="00814F31">
        <w:rPr>
          <w:rFonts w:ascii="Book Antiqua" w:hAnsi="Book Antiqua"/>
          <w:lang w:val="es-ES_tradnl"/>
        </w:rPr>
        <w:t xml:space="preserve"> </w:t>
      </w:r>
      <w:r w:rsidR="00814F31" w:rsidRPr="00233C37">
        <w:rPr>
          <w:rFonts w:ascii="Book Antiqua" w:hAnsi="Book Antiqua"/>
          <w:lang w:val="es-ES_tradnl"/>
        </w:rPr>
        <w:t xml:space="preserve">Denunciar actos de fraude y corrupción gubernamental puede </w:t>
      </w:r>
      <w:r w:rsidR="00D26D3B" w:rsidRPr="00233C37">
        <w:rPr>
          <w:rFonts w:ascii="Book Antiqua" w:hAnsi="Book Antiqua"/>
          <w:lang w:val="es-ES_tradnl"/>
        </w:rPr>
        <w:t xml:space="preserve">acarrear </w:t>
      </w:r>
      <w:r w:rsidR="00814F31" w:rsidRPr="00233C37">
        <w:rPr>
          <w:rFonts w:ascii="Book Antiqua" w:hAnsi="Book Antiqua"/>
          <w:lang w:val="es-ES_tradnl"/>
        </w:rPr>
        <w:t xml:space="preserve">consecuencias graves </w:t>
      </w:r>
      <w:r w:rsidR="00CD53AF" w:rsidRPr="00233C37">
        <w:rPr>
          <w:rFonts w:ascii="Book Antiqua" w:hAnsi="Book Antiqua"/>
          <w:lang w:val="es-ES_tradnl"/>
        </w:rPr>
        <w:t>para</w:t>
      </w:r>
      <w:r w:rsidR="00814F31" w:rsidRPr="00233C37">
        <w:rPr>
          <w:rFonts w:ascii="Book Antiqua" w:hAnsi="Book Antiqua"/>
          <w:lang w:val="es-ES_tradnl"/>
        </w:rPr>
        <w:t xml:space="preserve"> la parte delatora. Constantemente, </w:t>
      </w:r>
      <w:r w:rsidR="00CD53AF" w:rsidRPr="00233C37">
        <w:rPr>
          <w:rFonts w:ascii="Book Antiqua" w:hAnsi="Book Antiqua"/>
          <w:lang w:val="es-ES_tradnl"/>
        </w:rPr>
        <w:t>los delatores</w:t>
      </w:r>
      <w:r w:rsidR="00814F31" w:rsidRPr="00233C37">
        <w:rPr>
          <w:rFonts w:ascii="Book Antiqua" w:hAnsi="Book Antiqua"/>
          <w:lang w:val="es-ES_tradnl"/>
        </w:rPr>
        <w:t xml:space="preserve"> experimentan acoso, desp</w:t>
      </w:r>
      <w:r w:rsidR="00CD53AF" w:rsidRPr="00233C37">
        <w:rPr>
          <w:rFonts w:ascii="Book Antiqua" w:hAnsi="Book Antiqua"/>
          <w:lang w:val="es-ES_tradnl"/>
        </w:rPr>
        <w:t>i</w:t>
      </w:r>
      <w:r w:rsidR="00814F31" w:rsidRPr="00233C37">
        <w:rPr>
          <w:rFonts w:ascii="Book Antiqua" w:hAnsi="Book Antiqua"/>
          <w:lang w:val="es-ES_tradnl"/>
        </w:rPr>
        <w:t xml:space="preserve">dos, transferencias, entre otros tipos de represalias. En vista de ello, </w:t>
      </w:r>
      <w:r w:rsidR="00455F59" w:rsidRPr="00233C37">
        <w:rPr>
          <w:rFonts w:ascii="Book Antiqua" w:hAnsi="Book Antiqua"/>
          <w:lang w:val="es-ES_tradnl"/>
        </w:rPr>
        <w:t xml:space="preserve">ahora se mantendrá </w:t>
      </w:r>
      <w:r w:rsidR="00F94790" w:rsidRPr="00233C37">
        <w:rPr>
          <w:rFonts w:ascii="Book Antiqua" w:hAnsi="Book Antiqua"/>
          <w:lang w:val="es-ES_tradnl"/>
        </w:rPr>
        <w:t xml:space="preserve">bajo estricta confidencialidad </w:t>
      </w:r>
      <w:r w:rsidR="00814F31" w:rsidRPr="00233C37">
        <w:rPr>
          <w:rFonts w:ascii="Book Antiqua" w:hAnsi="Book Antiqua"/>
          <w:lang w:val="es-ES_tradnl"/>
        </w:rPr>
        <w:t>la identidad del delator o delatora</w:t>
      </w:r>
      <w:r w:rsidR="00F94790" w:rsidRPr="00233C37">
        <w:rPr>
          <w:rFonts w:ascii="Book Antiqua" w:hAnsi="Book Antiqua"/>
          <w:lang w:val="es-ES_tradnl"/>
        </w:rPr>
        <w:t>, incluyendo su</w:t>
      </w:r>
      <w:r w:rsidR="00814F31" w:rsidRPr="00233C37">
        <w:rPr>
          <w:rFonts w:ascii="Book Antiqua" w:hAnsi="Book Antiqua"/>
          <w:lang w:val="es-ES_tradnl"/>
        </w:rPr>
        <w:t xml:space="preserve"> nombre</w:t>
      </w:r>
      <w:r w:rsidR="00F94790" w:rsidRPr="00233C37">
        <w:rPr>
          <w:rFonts w:ascii="Book Antiqua" w:hAnsi="Book Antiqua"/>
          <w:lang w:val="es-ES_tradnl"/>
        </w:rPr>
        <w:t xml:space="preserve">, </w:t>
      </w:r>
      <w:r w:rsidR="000252B4" w:rsidRPr="00233C37">
        <w:rPr>
          <w:rFonts w:ascii="Book Antiqua" w:hAnsi="Book Antiqua"/>
          <w:lang w:val="es-ES_tradnl"/>
        </w:rPr>
        <w:t>apellidos e</w:t>
      </w:r>
      <w:r w:rsidR="00814F31" w:rsidRPr="00233C37">
        <w:rPr>
          <w:rFonts w:ascii="Book Antiqua" w:hAnsi="Book Antiqua"/>
          <w:lang w:val="es-ES_tradnl"/>
        </w:rPr>
        <w:t xml:space="preserve"> información personal, </w:t>
      </w:r>
      <w:r w:rsidR="00F94790" w:rsidRPr="00233C37">
        <w:rPr>
          <w:rFonts w:ascii="Book Antiqua" w:hAnsi="Book Antiqua"/>
          <w:lang w:val="es-ES_tradnl"/>
        </w:rPr>
        <w:t xml:space="preserve">tales </w:t>
      </w:r>
      <w:r w:rsidR="00814F31" w:rsidRPr="00233C37">
        <w:rPr>
          <w:rFonts w:ascii="Book Antiqua" w:hAnsi="Book Antiqua"/>
          <w:lang w:val="es-ES_tradnl"/>
        </w:rPr>
        <w:t xml:space="preserve">como edad; </w:t>
      </w:r>
      <w:r w:rsidR="00F94790" w:rsidRPr="00233C37">
        <w:rPr>
          <w:rFonts w:ascii="Book Antiqua" w:hAnsi="Book Antiqua"/>
          <w:lang w:val="es-ES_tradnl"/>
        </w:rPr>
        <w:t>sexo</w:t>
      </w:r>
      <w:r w:rsidR="00814F31" w:rsidRPr="00233C37">
        <w:rPr>
          <w:rFonts w:ascii="Book Antiqua" w:hAnsi="Book Antiqua"/>
          <w:lang w:val="es-ES_tradnl"/>
        </w:rPr>
        <w:t xml:space="preserve">; número de teléfono; dirección física y postal; </w:t>
      </w:r>
      <w:r w:rsidR="00107045" w:rsidRPr="00233C37">
        <w:rPr>
          <w:rFonts w:ascii="Book Antiqua" w:hAnsi="Book Antiqua"/>
          <w:lang w:val="es-ES_tradnl"/>
        </w:rPr>
        <w:t xml:space="preserve">lugar de </w:t>
      </w:r>
      <w:r w:rsidR="00814F31" w:rsidRPr="00233C37">
        <w:rPr>
          <w:rFonts w:ascii="Book Antiqua" w:hAnsi="Book Antiqua"/>
          <w:lang w:val="es-ES_tradnl"/>
        </w:rPr>
        <w:t xml:space="preserve">empleo; correo electrónico; entre otras. </w:t>
      </w:r>
      <w:r w:rsidR="00CD53AF" w:rsidRPr="00233C37">
        <w:rPr>
          <w:rFonts w:ascii="Book Antiqua" w:hAnsi="Book Antiqua"/>
          <w:lang w:val="es-ES_tradnl"/>
        </w:rPr>
        <w:t xml:space="preserve">Además de proteger al delator de futuras represalias, </w:t>
      </w:r>
      <w:r w:rsidR="00217C96" w:rsidRPr="00233C37">
        <w:rPr>
          <w:rFonts w:ascii="Book Antiqua" w:hAnsi="Book Antiqua"/>
          <w:lang w:val="es-ES_tradnl"/>
        </w:rPr>
        <w:t xml:space="preserve">esta Ley pretende </w:t>
      </w:r>
      <w:r w:rsidR="00CD53AF" w:rsidRPr="00233C37">
        <w:rPr>
          <w:rFonts w:ascii="Book Antiqua" w:hAnsi="Book Antiqua"/>
          <w:lang w:val="es-ES_tradnl"/>
        </w:rPr>
        <w:t xml:space="preserve">incentivar </w:t>
      </w:r>
      <w:r w:rsidR="0098567E" w:rsidRPr="00233C37">
        <w:rPr>
          <w:rFonts w:ascii="Book Antiqua" w:hAnsi="Book Antiqua"/>
          <w:lang w:val="es-ES_tradnl"/>
        </w:rPr>
        <w:t>que</w:t>
      </w:r>
      <w:r w:rsidR="00CD53AF" w:rsidRPr="00233C37">
        <w:rPr>
          <w:rFonts w:ascii="Book Antiqua" w:hAnsi="Book Antiqua"/>
          <w:lang w:val="es-ES_tradnl"/>
        </w:rPr>
        <w:t xml:space="preserve"> </w:t>
      </w:r>
      <w:r w:rsidR="00D26D3B" w:rsidRPr="00233C37">
        <w:rPr>
          <w:rFonts w:ascii="Book Antiqua" w:hAnsi="Book Antiqua"/>
          <w:lang w:val="es-ES_tradnl"/>
        </w:rPr>
        <w:t xml:space="preserve">más </w:t>
      </w:r>
      <w:r w:rsidR="00CD53AF" w:rsidRPr="00233C37">
        <w:rPr>
          <w:rFonts w:ascii="Book Antiqua" w:hAnsi="Book Antiqua"/>
          <w:lang w:val="es-ES_tradnl"/>
        </w:rPr>
        <w:t xml:space="preserve">personas </w:t>
      </w:r>
      <w:r w:rsidR="00814F31" w:rsidRPr="00233C37">
        <w:rPr>
          <w:rFonts w:ascii="Book Antiqua" w:hAnsi="Book Antiqua"/>
          <w:lang w:val="es-ES_tradnl"/>
        </w:rPr>
        <w:t>con conocimiento de estos actos</w:t>
      </w:r>
      <w:r w:rsidR="00CD53AF" w:rsidRPr="00233C37">
        <w:rPr>
          <w:rFonts w:ascii="Book Antiqua" w:hAnsi="Book Antiqua"/>
          <w:lang w:val="es-ES_tradnl"/>
        </w:rPr>
        <w:t xml:space="preserve"> los denuncien.</w:t>
      </w:r>
      <w:r w:rsidR="00814F31">
        <w:rPr>
          <w:rFonts w:ascii="Book Antiqua" w:hAnsi="Book Antiqua"/>
          <w:lang w:val="es-ES_tradnl"/>
        </w:rPr>
        <w:t xml:space="preserve"> </w:t>
      </w:r>
    </w:p>
    <w:p w14:paraId="6F69935E" w14:textId="77777777" w:rsidR="00061884" w:rsidRPr="009673F4" w:rsidRDefault="00061884" w:rsidP="00061884">
      <w:pPr>
        <w:spacing w:before="240" w:line="480" w:lineRule="auto"/>
        <w:rPr>
          <w:rFonts w:ascii="Book Antiqua" w:hAnsi="Book Antiqua"/>
          <w:i/>
          <w:lang w:val="es-ES_tradnl"/>
        </w:rPr>
      </w:pPr>
      <w:r w:rsidRPr="009673F4">
        <w:rPr>
          <w:rFonts w:ascii="Book Antiqua" w:hAnsi="Book Antiqua"/>
          <w:i/>
          <w:lang w:val="es-ES_tradnl"/>
        </w:rPr>
        <w:t>DECRÉTASE POR LA ASAMBLEA LEGISLATIVA DE PUERTO RICO:</w:t>
      </w:r>
    </w:p>
    <w:p w14:paraId="404767C6" w14:textId="77777777" w:rsidR="00061884" w:rsidRPr="009673F4" w:rsidRDefault="00061884" w:rsidP="00061884">
      <w:pPr>
        <w:spacing w:line="480" w:lineRule="auto"/>
        <w:jc w:val="both"/>
        <w:rPr>
          <w:rFonts w:ascii="Book Antiqua" w:hAnsi="Book Antiqua"/>
          <w:lang w:val="es-ES_tradnl"/>
        </w:rPr>
        <w:sectPr w:rsidR="00061884" w:rsidRPr="009673F4">
          <w:headerReference w:type="default" r:id="rId13"/>
          <w:type w:val="continuous"/>
          <w:pgSz w:w="12240" w:h="15840" w:code="1"/>
          <w:pgMar w:top="1440" w:right="1440" w:bottom="1440" w:left="1440" w:header="720" w:footer="720" w:gutter="0"/>
          <w:cols w:space="720"/>
          <w:titlePg/>
        </w:sectPr>
      </w:pPr>
    </w:p>
    <w:p w14:paraId="0E64DCB1" w14:textId="406471A7" w:rsidR="00061884" w:rsidRDefault="00A402DA" w:rsidP="00120074">
      <w:pPr>
        <w:ind w:firstLine="360"/>
        <w:jc w:val="both"/>
        <w:rPr>
          <w:rFonts w:ascii="Book Antiqua" w:hAnsi="Book Antiqua"/>
          <w:lang w:val="es-ES_tradnl"/>
        </w:rPr>
      </w:pPr>
      <w:r w:rsidRPr="00120074">
        <w:rPr>
          <w:rFonts w:ascii="Book Antiqua" w:hAnsi="Book Antiqua"/>
          <w:lang w:val="es-ES_tradnl"/>
        </w:rPr>
        <w:t xml:space="preserve">Sección </w:t>
      </w:r>
      <w:r w:rsidR="00061884" w:rsidRPr="00120074">
        <w:rPr>
          <w:rFonts w:ascii="Book Antiqua" w:hAnsi="Book Antiqua"/>
          <w:lang w:val="es-ES_tradnl"/>
        </w:rPr>
        <w:t xml:space="preserve">1.- </w:t>
      </w:r>
      <w:r w:rsidR="00A323C0" w:rsidRPr="00120074">
        <w:rPr>
          <w:rFonts w:ascii="Book Antiqua" w:hAnsi="Book Antiqua"/>
          <w:lang w:val="es-ES_tradnl"/>
        </w:rPr>
        <w:t xml:space="preserve">Enmendar </w:t>
      </w:r>
      <w:r w:rsidR="002E1142" w:rsidRPr="00120074">
        <w:rPr>
          <w:rFonts w:ascii="Book Antiqua" w:hAnsi="Book Antiqua"/>
          <w:lang w:val="es-ES_tradnl"/>
        </w:rPr>
        <w:t>el Artículo 4.02 de la Ley 154-2018, según enmendada, para que lea como sigue:</w:t>
      </w:r>
    </w:p>
    <w:p w14:paraId="5E8CC5C5" w14:textId="77777777" w:rsidR="00120074" w:rsidRPr="008D44BD" w:rsidRDefault="00120074" w:rsidP="00120074">
      <w:pPr>
        <w:ind w:firstLine="360"/>
        <w:jc w:val="both"/>
        <w:rPr>
          <w:rFonts w:ascii="Book Antiqua" w:hAnsi="Book Antiqua"/>
          <w:sz w:val="16"/>
          <w:szCs w:val="16"/>
          <w:lang w:val="es-ES_tradnl"/>
        </w:rPr>
      </w:pPr>
    </w:p>
    <w:p w14:paraId="21EC2722" w14:textId="0EA41002" w:rsidR="00F64AAA" w:rsidRDefault="00F64AAA" w:rsidP="00120074">
      <w:pPr>
        <w:ind w:firstLine="360"/>
        <w:jc w:val="both"/>
        <w:rPr>
          <w:rFonts w:ascii="Book Antiqua" w:hAnsi="Book Antiqua"/>
          <w:lang w:val="es-ES_tradnl"/>
        </w:rPr>
      </w:pPr>
      <w:r w:rsidRPr="00120074">
        <w:rPr>
          <w:rFonts w:ascii="Book Antiqua" w:hAnsi="Book Antiqua"/>
          <w:lang w:val="es-ES_tradnl"/>
        </w:rPr>
        <w:t xml:space="preserve">“Artículo 4.02.- Acción Civil: </w:t>
      </w:r>
      <w:r w:rsidR="00090D9F" w:rsidRPr="00120074">
        <w:rPr>
          <w:rFonts w:ascii="Book Antiqua" w:hAnsi="Book Antiqua"/>
          <w:lang w:val="es-ES_tradnl"/>
        </w:rPr>
        <w:t xml:space="preserve">quién </w:t>
      </w:r>
      <w:r w:rsidRPr="00120074">
        <w:rPr>
          <w:rFonts w:ascii="Book Antiqua" w:hAnsi="Book Antiqua"/>
          <w:lang w:val="es-ES_tradnl"/>
        </w:rPr>
        <w:t xml:space="preserve">puede presentarla. </w:t>
      </w:r>
    </w:p>
    <w:p w14:paraId="68843819" w14:textId="77777777" w:rsidR="00120074" w:rsidRPr="008D44BD" w:rsidRDefault="00120074" w:rsidP="00120074">
      <w:pPr>
        <w:ind w:firstLine="360"/>
        <w:jc w:val="both"/>
        <w:rPr>
          <w:rFonts w:ascii="Book Antiqua" w:hAnsi="Book Antiqua"/>
          <w:sz w:val="16"/>
          <w:szCs w:val="16"/>
          <w:lang w:val="es-ES_tradnl"/>
        </w:rPr>
      </w:pPr>
    </w:p>
    <w:p w14:paraId="13DBDE79" w14:textId="6839AF14" w:rsidR="00F64AAA" w:rsidRDefault="00F64AAA" w:rsidP="00120074">
      <w:pPr>
        <w:ind w:firstLine="360"/>
        <w:jc w:val="both"/>
        <w:rPr>
          <w:rFonts w:ascii="Book Antiqua" w:hAnsi="Book Antiqua"/>
          <w:lang w:val="es-ES_tradnl"/>
        </w:rPr>
      </w:pPr>
      <w:r w:rsidRPr="00120074">
        <w:rPr>
          <w:rFonts w:ascii="Book Antiqua" w:hAnsi="Book Antiqua"/>
          <w:lang w:val="es-ES_tradnl"/>
        </w:rPr>
        <w:t>1. …</w:t>
      </w:r>
    </w:p>
    <w:p w14:paraId="5EF49C9E" w14:textId="77777777" w:rsidR="00120074" w:rsidRPr="008D44BD" w:rsidRDefault="00120074" w:rsidP="00120074">
      <w:pPr>
        <w:ind w:firstLine="360"/>
        <w:jc w:val="both"/>
        <w:rPr>
          <w:rFonts w:ascii="Book Antiqua" w:hAnsi="Book Antiqua"/>
          <w:sz w:val="16"/>
          <w:szCs w:val="16"/>
          <w:lang w:val="es-ES_tradnl"/>
        </w:rPr>
      </w:pPr>
    </w:p>
    <w:p w14:paraId="7990F40B" w14:textId="5BA82446" w:rsidR="002E1142" w:rsidRDefault="002E1142" w:rsidP="00120074">
      <w:pPr>
        <w:ind w:firstLine="360"/>
        <w:jc w:val="both"/>
        <w:rPr>
          <w:rFonts w:ascii="Book Antiqua" w:hAnsi="Book Antiqua"/>
          <w:lang w:val="es-ES_tradnl"/>
        </w:rPr>
      </w:pPr>
      <w:r w:rsidRPr="00120074">
        <w:rPr>
          <w:rFonts w:ascii="Book Antiqua" w:hAnsi="Book Antiqua"/>
          <w:lang w:val="es-ES_tradnl"/>
        </w:rPr>
        <w:t xml:space="preserve">  2. </w:t>
      </w:r>
    </w:p>
    <w:p w14:paraId="6D2696C0" w14:textId="77777777" w:rsidR="00120074" w:rsidRPr="008D44BD" w:rsidRDefault="00120074" w:rsidP="00120074">
      <w:pPr>
        <w:ind w:firstLine="360"/>
        <w:jc w:val="both"/>
        <w:rPr>
          <w:rFonts w:ascii="Book Antiqua" w:hAnsi="Book Antiqua"/>
          <w:sz w:val="16"/>
          <w:szCs w:val="16"/>
          <w:lang w:val="es-ES_tradnl"/>
        </w:rPr>
      </w:pPr>
    </w:p>
    <w:p w14:paraId="73C27B0D" w14:textId="06260507" w:rsidR="002E1142" w:rsidRDefault="002E1142" w:rsidP="00120074">
      <w:pPr>
        <w:ind w:firstLine="360"/>
        <w:jc w:val="both"/>
        <w:rPr>
          <w:rFonts w:ascii="Book Antiqua" w:hAnsi="Book Antiqua"/>
          <w:lang w:val="es-ES_tradnl"/>
        </w:rPr>
      </w:pPr>
      <w:r w:rsidRPr="00120074">
        <w:rPr>
          <w:rFonts w:ascii="Book Antiqua" w:hAnsi="Book Antiqua"/>
          <w:lang w:val="es-ES_tradnl"/>
        </w:rPr>
        <w:tab/>
        <w:t>a. Cualquier persona…</w:t>
      </w:r>
    </w:p>
    <w:p w14:paraId="464C9D52" w14:textId="77777777" w:rsidR="00120074" w:rsidRPr="008D44BD" w:rsidRDefault="00120074" w:rsidP="00120074">
      <w:pPr>
        <w:ind w:firstLine="360"/>
        <w:jc w:val="both"/>
        <w:rPr>
          <w:rFonts w:ascii="Book Antiqua" w:hAnsi="Book Antiqua"/>
          <w:sz w:val="16"/>
          <w:szCs w:val="16"/>
          <w:lang w:val="es-ES_tradnl"/>
        </w:rPr>
      </w:pPr>
    </w:p>
    <w:p w14:paraId="20914F68" w14:textId="0EB4BB96" w:rsidR="002E1142" w:rsidRDefault="002E1142" w:rsidP="00120074">
      <w:pPr>
        <w:ind w:firstLine="360"/>
        <w:jc w:val="both"/>
        <w:rPr>
          <w:rFonts w:ascii="Book Antiqua" w:hAnsi="Book Antiqua"/>
          <w:lang w:val="es-ES_tradnl"/>
        </w:rPr>
      </w:pPr>
      <w:r w:rsidRPr="00120074">
        <w:rPr>
          <w:rFonts w:ascii="Book Antiqua" w:hAnsi="Book Antiqua"/>
          <w:lang w:val="es-ES_tradnl"/>
        </w:rPr>
        <w:lastRenderedPageBreak/>
        <w:tab/>
        <w:t>b. La persona que presente la demanda en beneficio y a nombre del Gobierno en el tribunal deberá</w:t>
      </w:r>
      <w:r w:rsidR="00612A57" w:rsidRPr="00120074">
        <w:rPr>
          <w:rFonts w:ascii="Book Antiqua" w:hAnsi="Book Antiqua"/>
          <w:lang w:val="es-ES_tradnl"/>
        </w:rPr>
        <w:t>,</w:t>
      </w:r>
      <w:r w:rsidRPr="00120074">
        <w:rPr>
          <w:rFonts w:ascii="Book Antiqua" w:hAnsi="Book Antiqua"/>
          <w:lang w:val="es-ES_tradnl"/>
        </w:rPr>
        <w:t xml:space="preserve"> en la fecha de su presentación</w:t>
      </w:r>
      <w:r w:rsidR="00612A57" w:rsidRPr="00120074">
        <w:rPr>
          <w:rFonts w:ascii="Book Antiqua" w:hAnsi="Book Antiqua"/>
          <w:lang w:val="es-ES_tradnl"/>
        </w:rPr>
        <w:t>,</w:t>
      </w:r>
      <w:r w:rsidRPr="00120074">
        <w:rPr>
          <w:rFonts w:ascii="Book Antiqua" w:hAnsi="Book Antiqua"/>
          <w:lang w:val="es-ES_tradnl"/>
        </w:rPr>
        <w:t xml:space="preserve"> emplazar al Gobierno por conducto del </w:t>
      </w:r>
      <w:proofErr w:type="gramStart"/>
      <w:r w:rsidRPr="00120074">
        <w:rPr>
          <w:rFonts w:ascii="Book Antiqua" w:hAnsi="Book Antiqua"/>
          <w:lang w:val="es-ES_tradnl"/>
        </w:rPr>
        <w:t>Secretario</w:t>
      </w:r>
      <w:proofErr w:type="gramEnd"/>
      <w:r w:rsidRPr="00120074">
        <w:rPr>
          <w:rFonts w:ascii="Book Antiqua" w:hAnsi="Book Antiqua"/>
          <w:lang w:val="es-ES_tradnl"/>
        </w:rPr>
        <w:t xml:space="preserve">, proveyéndole copia de la demanda y la revelación por escrito de toda evidencia e información en su posesión. La demanda se presentará en el Tribunal de Primera Instancia, permanecerá sellada por lo menos durante los sesenta (60) días siguientes, y no se notificará o divulgará a la parte demandada hasta que el </w:t>
      </w:r>
      <w:r w:rsidR="00461521">
        <w:rPr>
          <w:rFonts w:ascii="Book Antiqua" w:hAnsi="Book Antiqua"/>
          <w:lang w:val="es-ES_tradnl"/>
        </w:rPr>
        <w:t>T</w:t>
      </w:r>
      <w:r w:rsidRPr="00120074">
        <w:rPr>
          <w:rFonts w:ascii="Book Antiqua" w:hAnsi="Book Antiqua"/>
          <w:lang w:val="es-ES_tradnl"/>
        </w:rPr>
        <w:t>ribunal así lo disponga. En la demanda, el delator certificará so pena de perjurio que no obtuvo la información de parte de ninguna de las personas que tienen una prohibición de presentar una demanda de conformidad con el inciso</w:t>
      </w:r>
      <w:r w:rsidR="00682AC6" w:rsidRPr="00120074">
        <w:rPr>
          <w:rFonts w:ascii="Book Antiqua" w:hAnsi="Book Antiqua"/>
          <w:lang w:val="es-ES_tradnl"/>
        </w:rPr>
        <w:t xml:space="preserve"> (f) del Artículo 1.02 de esta Ley.</w:t>
      </w:r>
      <w:r w:rsidR="00747923" w:rsidRPr="00120074">
        <w:rPr>
          <w:rFonts w:ascii="Book Antiqua" w:hAnsi="Book Antiqua"/>
          <w:lang w:val="es-ES_tradnl"/>
        </w:rPr>
        <w:t xml:space="preserve"> </w:t>
      </w:r>
      <w:r w:rsidRPr="00120074">
        <w:rPr>
          <w:rFonts w:ascii="Book Antiqua" w:hAnsi="Book Antiqua"/>
          <w:lang w:val="es-ES_tradnl"/>
        </w:rPr>
        <w:t xml:space="preserve"> El Gobierno podrá intervenir en el </w:t>
      </w:r>
      <w:r w:rsidR="007A0A72" w:rsidRPr="00120074">
        <w:rPr>
          <w:rFonts w:ascii="Book Antiqua" w:hAnsi="Book Antiqua"/>
          <w:lang w:val="es-ES_tradnl"/>
        </w:rPr>
        <w:t>litigio, pero</w:t>
      </w:r>
      <w:r w:rsidR="00015B5B" w:rsidRPr="00120074">
        <w:rPr>
          <w:rFonts w:ascii="Book Antiqua" w:hAnsi="Book Antiqua"/>
          <w:lang w:val="es-ES_tradnl"/>
        </w:rPr>
        <w:t xml:space="preserve"> </w:t>
      </w:r>
      <w:r w:rsidRPr="00120074">
        <w:rPr>
          <w:rFonts w:ascii="Book Antiqua" w:hAnsi="Book Antiqua"/>
          <w:lang w:val="es-ES_tradnl"/>
        </w:rPr>
        <w:t>no será considerado parte indispensable del pleito.</w:t>
      </w:r>
      <w:r w:rsidR="007F6CF6" w:rsidRPr="00120074">
        <w:rPr>
          <w:rFonts w:ascii="Book Antiqua" w:hAnsi="Book Antiqua"/>
          <w:lang w:val="es-ES_tradnl"/>
        </w:rPr>
        <w:t xml:space="preserve"> </w:t>
      </w:r>
      <w:r w:rsidR="00015B5B" w:rsidRPr="00120074">
        <w:rPr>
          <w:rFonts w:ascii="Book Antiqua" w:hAnsi="Book Antiqua"/>
          <w:lang w:val="es-ES_tradnl"/>
        </w:rPr>
        <w:t xml:space="preserve">Dicha </w:t>
      </w:r>
      <w:r w:rsidR="00E12DCA" w:rsidRPr="00120074">
        <w:rPr>
          <w:rFonts w:ascii="Book Antiqua" w:hAnsi="Book Antiqua"/>
          <w:lang w:val="es-ES_tradnl"/>
        </w:rPr>
        <w:t xml:space="preserve">solicitud de </w:t>
      </w:r>
      <w:r w:rsidR="00015B5B" w:rsidRPr="00120074">
        <w:rPr>
          <w:rFonts w:ascii="Book Antiqua" w:hAnsi="Book Antiqua"/>
          <w:lang w:val="es-ES_tradnl"/>
        </w:rPr>
        <w:t xml:space="preserve">intervención deberá ser presentada ante el Tribunal dentro de sesenta (60) días a partir de que el </w:t>
      </w:r>
      <w:proofErr w:type="gramStart"/>
      <w:r w:rsidR="00015B5B" w:rsidRPr="00120074">
        <w:rPr>
          <w:rFonts w:ascii="Book Antiqua" w:hAnsi="Book Antiqua"/>
          <w:lang w:val="es-ES_tradnl"/>
        </w:rPr>
        <w:t>Secretario</w:t>
      </w:r>
      <w:proofErr w:type="gramEnd"/>
      <w:r w:rsidR="00015B5B" w:rsidRPr="00120074">
        <w:rPr>
          <w:rFonts w:ascii="Book Antiqua" w:hAnsi="Book Antiqua"/>
          <w:lang w:val="es-ES_tradnl"/>
        </w:rPr>
        <w:t xml:space="preserve"> de Justicia reciba la notificación tanto de la demanda como de la evidencia </w:t>
      </w:r>
      <w:r w:rsidR="00E12DCA" w:rsidRPr="00120074">
        <w:rPr>
          <w:rFonts w:ascii="Book Antiqua" w:hAnsi="Book Antiqua"/>
          <w:lang w:val="es-ES_tradnl"/>
        </w:rPr>
        <w:t xml:space="preserve">e </w:t>
      </w:r>
      <w:r w:rsidR="00015B5B" w:rsidRPr="00120074">
        <w:rPr>
          <w:rFonts w:ascii="Book Antiqua" w:hAnsi="Book Antiqua"/>
          <w:lang w:val="es-ES_tradnl"/>
        </w:rPr>
        <w:t xml:space="preserve">información necesaria para el Secretario llevar a cabo su investigación de la información </w:t>
      </w:r>
      <w:r w:rsidR="002934AF" w:rsidRPr="00120074">
        <w:rPr>
          <w:rFonts w:ascii="Book Antiqua" w:hAnsi="Book Antiqua"/>
          <w:lang w:val="es-ES_tradnl"/>
        </w:rPr>
        <w:t xml:space="preserve">y alegaciones </w:t>
      </w:r>
      <w:r w:rsidR="00015B5B" w:rsidRPr="00120074">
        <w:rPr>
          <w:rFonts w:ascii="Book Antiqua" w:hAnsi="Book Antiqua"/>
          <w:lang w:val="es-ES_tradnl"/>
        </w:rPr>
        <w:t>reportada</w:t>
      </w:r>
      <w:r w:rsidR="002934AF" w:rsidRPr="00120074">
        <w:rPr>
          <w:rFonts w:ascii="Book Antiqua" w:hAnsi="Book Antiqua"/>
          <w:lang w:val="es-ES_tradnl"/>
        </w:rPr>
        <w:t>s</w:t>
      </w:r>
      <w:r w:rsidR="00015B5B" w:rsidRPr="00120074">
        <w:rPr>
          <w:rFonts w:ascii="Book Antiqua" w:hAnsi="Book Antiqua"/>
          <w:lang w:val="es-ES_tradnl"/>
        </w:rPr>
        <w:t xml:space="preserve">. </w:t>
      </w:r>
      <w:r w:rsidRPr="00120074">
        <w:rPr>
          <w:rFonts w:ascii="Book Antiqua" w:hAnsi="Book Antiqua"/>
          <w:lang w:val="es-ES_tradnl"/>
        </w:rPr>
        <w:t xml:space="preserve">El tribunal podrá prorrogar el término de sesenta (60) días para la </w:t>
      </w:r>
      <w:r w:rsidR="00C655FB" w:rsidRPr="00120074">
        <w:rPr>
          <w:rFonts w:ascii="Book Antiqua" w:hAnsi="Book Antiqua"/>
          <w:lang w:val="es-ES_tradnl"/>
        </w:rPr>
        <w:t xml:space="preserve">presentación de la solicitud </w:t>
      </w:r>
      <w:r w:rsidRPr="00120074">
        <w:rPr>
          <w:rFonts w:ascii="Book Antiqua" w:hAnsi="Book Antiqua"/>
          <w:lang w:val="es-ES_tradnl"/>
        </w:rPr>
        <w:t xml:space="preserve">de intervención o no intervención por parte del Gobierno, siempre y cuando el </w:t>
      </w:r>
      <w:proofErr w:type="gramStart"/>
      <w:r w:rsidRPr="00120074">
        <w:rPr>
          <w:rFonts w:ascii="Book Antiqua" w:hAnsi="Book Antiqua"/>
          <w:lang w:val="es-ES_tradnl"/>
        </w:rPr>
        <w:t>Secretario</w:t>
      </w:r>
      <w:proofErr w:type="gramEnd"/>
      <w:r w:rsidRPr="00120074">
        <w:rPr>
          <w:rFonts w:ascii="Book Antiqua" w:hAnsi="Book Antiqua"/>
          <w:lang w:val="es-ES_tradnl"/>
        </w:rPr>
        <w:t xml:space="preserve"> o su designado solicite la misma detallando justa causa para continuar su proceso investigativo previo a la toma de decisión sobre la intervención.</w:t>
      </w:r>
    </w:p>
    <w:p w14:paraId="156058F4" w14:textId="77777777" w:rsidR="00120074" w:rsidRPr="008D44BD" w:rsidRDefault="00120074" w:rsidP="00120074">
      <w:pPr>
        <w:ind w:firstLine="360"/>
        <w:jc w:val="both"/>
        <w:rPr>
          <w:rFonts w:ascii="Book Antiqua" w:hAnsi="Book Antiqua"/>
          <w:sz w:val="16"/>
          <w:szCs w:val="16"/>
          <w:lang w:val="es-ES_tradnl"/>
        </w:rPr>
      </w:pPr>
    </w:p>
    <w:p w14:paraId="12906CAE" w14:textId="307FF780" w:rsidR="002E1142" w:rsidRDefault="002E1142" w:rsidP="00120074">
      <w:pPr>
        <w:ind w:firstLine="720"/>
        <w:jc w:val="both"/>
        <w:rPr>
          <w:rFonts w:ascii="Book Antiqua" w:hAnsi="Book Antiqua"/>
          <w:lang w:val="es-ES_tradnl"/>
        </w:rPr>
      </w:pPr>
      <w:r w:rsidRPr="00120074">
        <w:rPr>
          <w:rFonts w:ascii="Book Antiqua" w:hAnsi="Book Antiqua"/>
          <w:lang w:val="es-ES_tradnl"/>
        </w:rPr>
        <w:t xml:space="preserve">c. Antes que se cumpla </w:t>
      </w:r>
      <w:proofErr w:type="spellStart"/>
      <w:r w:rsidRPr="00120074">
        <w:rPr>
          <w:rFonts w:ascii="Book Antiqua" w:hAnsi="Book Antiqua"/>
          <w:lang w:val="es-ES_tradnl"/>
        </w:rPr>
        <w:t>el</w:t>
      </w:r>
      <w:proofErr w:type="spellEnd"/>
      <w:r w:rsidRPr="00120074">
        <w:rPr>
          <w:rFonts w:ascii="Book Antiqua" w:hAnsi="Book Antiqua"/>
          <w:lang w:val="es-ES_tradnl"/>
        </w:rPr>
        <w:t xml:space="preserve"> </w:t>
      </w:r>
      <w:proofErr w:type="spellStart"/>
      <w:r w:rsidRPr="00120074">
        <w:rPr>
          <w:rFonts w:ascii="Book Antiqua" w:hAnsi="Book Antiqua"/>
          <w:lang w:val="es-ES_tradnl"/>
        </w:rPr>
        <w:t>término</w:t>
      </w:r>
      <w:proofErr w:type="spellEnd"/>
      <w:r w:rsidRPr="00120074">
        <w:rPr>
          <w:rFonts w:ascii="Book Antiqua" w:hAnsi="Book Antiqua"/>
          <w:lang w:val="es-ES_tradnl"/>
        </w:rPr>
        <w:t xml:space="preserve">, ya sea de sesenta (60) </w:t>
      </w:r>
      <w:proofErr w:type="spellStart"/>
      <w:r w:rsidRPr="00120074">
        <w:rPr>
          <w:rFonts w:ascii="Book Antiqua" w:hAnsi="Book Antiqua"/>
          <w:lang w:val="es-ES_tradnl"/>
        </w:rPr>
        <w:t>días</w:t>
      </w:r>
      <w:proofErr w:type="spellEnd"/>
      <w:r w:rsidRPr="00120074">
        <w:rPr>
          <w:rFonts w:ascii="Book Antiqua" w:hAnsi="Book Antiqua"/>
          <w:lang w:val="es-ES_tradnl"/>
        </w:rPr>
        <w:t xml:space="preserve">, o el de la </w:t>
      </w:r>
      <w:proofErr w:type="spellStart"/>
      <w:r w:rsidRPr="00120074">
        <w:rPr>
          <w:rFonts w:ascii="Book Antiqua" w:hAnsi="Book Antiqua"/>
          <w:lang w:val="es-ES_tradnl"/>
        </w:rPr>
        <w:t>prórroga</w:t>
      </w:r>
      <w:proofErr w:type="spellEnd"/>
      <w:r w:rsidRPr="00120074">
        <w:rPr>
          <w:rFonts w:ascii="Book Antiqua" w:hAnsi="Book Antiqua"/>
          <w:lang w:val="es-ES_tradnl"/>
        </w:rPr>
        <w:t xml:space="preserve">, el Gobierno </w:t>
      </w:r>
      <w:proofErr w:type="spellStart"/>
      <w:r w:rsidRPr="00120074">
        <w:rPr>
          <w:rFonts w:ascii="Book Antiqua" w:hAnsi="Book Antiqua"/>
          <w:lang w:val="es-ES_tradnl"/>
        </w:rPr>
        <w:t>podra</w:t>
      </w:r>
      <w:proofErr w:type="spellEnd"/>
      <w:r w:rsidRPr="00120074">
        <w:rPr>
          <w:rFonts w:ascii="Book Antiqua" w:hAnsi="Book Antiqua"/>
          <w:lang w:val="es-ES_tradnl"/>
        </w:rPr>
        <w:t xml:space="preserve">́: </w:t>
      </w:r>
    </w:p>
    <w:p w14:paraId="5FCE43FF" w14:textId="77777777" w:rsidR="00120074" w:rsidRPr="008D44BD" w:rsidRDefault="00120074" w:rsidP="00120074">
      <w:pPr>
        <w:ind w:firstLine="720"/>
        <w:jc w:val="both"/>
        <w:rPr>
          <w:rFonts w:ascii="Book Antiqua" w:hAnsi="Book Antiqua"/>
          <w:sz w:val="16"/>
          <w:szCs w:val="16"/>
          <w:lang w:val="es-ES_tradnl"/>
        </w:rPr>
      </w:pPr>
    </w:p>
    <w:p w14:paraId="3846B328" w14:textId="25FCD887" w:rsidR="002E1142" w:rsidRDefault="002E1142" w:rsidP="00120074">
      <w:pPr>
        <w:ind w:left="720" w:firstLine="720"/>
        <w:jc w:val="both"/>
        <w:rPr>
          <w:rFonts w:ascii="Book Antiqua" w:hAnsi="Book Antiqua"/>
          <w:lang w:val="es-ES_tradnl"/>
        </w:rPr>
      </w:pPr>
      <w:r w:rsidRPr="00120074">
        <w:rPr>
          <w:rFonts w:ascii="Book Antiqua" w:hAnsi="Book Antiqua"/>
          <w:lang w:val="es-ES_tradnl"/>
        </w:rPr>
        <w:t xml:space="preserve">i. </w:t>
      </w:r>
      <w:r w:rsidR="00015B5B" w:rsidRPr="00120074">
        <w:rPr>
          <w:rFonts w:ascii="Book Antiqua" w:hAnsi="Book Antiqua"/>
          <w:lang w:val="es-ES_tradnl"/>
        </w:rPr>
        <w:t>Solicitar la participación como parte interventora en la</w:t>
      </w:r>
      <w:r w:rsidRPr="00120074">
        <w:rPr>
          <w:rFonts w:ascii="Book Antiqua" w:hAnsi="Book Antiqua"/>
          <w:lang w:val="es-ES_tradnl"/>
        </w:rPr>
        <w:t xml:space="preserve"> acción, </w:t>
      </w:r>
      <w:r w:rsidR="00015B5B" w:rsidRPr="00120074">
        <w:rPr>
          <w:rFonts w:ascii="Book Antiqua" w:hAnsi="Book Antiqua"/>
          <w:lang w:val="es-ES_tradnl"/>
        </w:rPr>
        <w:t xml:space="preserve">sin que ello se entienda como limitación alguna a la legitimación del delator para promover la acción. </w:t>
      </w:r>
    </w:p>
    <w:p w14:paraId="11C85EB7" w14:textId="77777777" w:rsidR="00120074" w:rsidRPr="008D44BD" w:rsidRDefault="00120074" w:rsidP="00120074">
      <w:pPr>
        <w:ind w:left="720" w:firstLine="720"/>
        <w:jc w:val="both"/>
        <w:rPr>
          <w:rFonts w:ascii="Book Antiqua" w:hAnsi="Book Antiqua"/>
          <w:sz w:val="16"/>
          <w:szCs w:val="16"/>
          <w:lang w:val="es-ES_tradnl"/>
        </w:rPr>
      </w:pPr>
    </w:p>
    <w:p w14:paraId="229F2CB2" w14:textId="5C812C2C" w:rsidR="002E1142" w:rsidRDefault="002E1142" w:rsidP="00120074">
      <w:pPr>
        <w:ind w:left="720" w:firstLine="720"/>
        <w:jc w:val="both"/>
        <w:rPr>
          <w:rFonts w:ascii="Book Antiqua" w:hAnsi="Book Antiqua"/>
          <w:lang w:val="es-ES_tradnl"/>
        </w:rPr>
      </w:pPr>
      <w:proofErr w:type="spellStart"/>
      <w:r w:rsidRPr="00120074">
        <w:rPr>
          <w:rFonts w:ascii="Book Antiqua" w:hAnsi="Book Antiqua"/>
          <w:lang w:val="es-ES_tradnl"/>
        </w:rPr>
        <w:t>ii</w:t>
      </w:r>
      <w:proofErr w:type="spellEnd"/>
      <w:r w:rsidRPr="00120074">
        <w:rPr>
          <w:rFonts w:ascii="Book Antiqua" w:hAnsi="Book Antiqua"/>
          <w:lang w:val="es-ES_tradnl"/>
        </w:rPr>
        <w:t>. Notificar al Tribunal que no intervendrá en la acción, en cuyo caso, la acción será promovida únicamente por la persona que presentó la demanda.</w:t>
      </w:r>
    </w:p>
    <w:p w14:paraId="74304D00" w14:textId="77777777" w:rsidR="00120074" w:rsidRPr="008D44BD" w:rsidRDefault="00120074" w:rsidP="00120074">
      <w:pPr>
        <w:ind w:left="720" w:firstLine="720"/>
        <w:jc w:val="both"/>
        <w:rPr>
          <w:rFonts w:ascii="Book Antiqua" w:hAnsi="Book Antiqua"/>
          <w:sz w:val="16"/>
          <w:szCs w:val="16"/>
          <w:lang w:val="es-ES_tradnl"/>
        </w:rPr>
      </w:pPr>
    </w:p>
    <w:p w14:paraId="237B341B" w14:textId="5E08514B" w:rsidR="002E1142" w:rsidRDefault="002E1142" w:rsidP="00120074">
      <w:pPr>
        <w:ind w:left="720" w:firstLine="720"/>
        <w:jc w:val="both"/>
        <w:rPr>
          <w:rFonts w:ascii="Book Antiqua" w:hAnsi="Book Antiqua"/>
          <w:lang w:val="es-ES_tradnl"/>
        </w:rPr>
      </w:pPr>
      <w:proofErr w:type="spellStart"/>
      <w:r w:rsidRPr="00120074">
        <w:rPr>
          <w:rFonts w:ascii="Book Antiqua" w:hAnsi="Book Antiqua"/>
          <w:lang w:val="es-ES_tradnl"/>
        </w:rPr>
        <w:t>iii</w:t>
      </w:r>
      <w:proofErr w:type="spellEnd"/>
      <w:r w:rsidRPr="00120074">
        <w:rPr>
          <w:rFonts w:ascii="Book Antiqua" w:hAnsi="Book Antiqua"/>
          <w:lang w:val="es-ES_tradnl"/>
        </w:rPr>
        <w:t xml:space="preserve">. La determinación de intervención o no intervención en cualquier caso presentado al amparo de esta legislación por un ciudadano particular queda enteramente en la discreción del </w:t>
      </w:r>
      <w:proofErr w:type="gramStart"/>
      <w:r w:rsidRPr="00120074">
        <w:rPr>
          <w:rFonts w:ascii="Book Antiqua" w:hAnsi="Book Antiqua"/>
          <w:lang w:val="es-ES_tradnl"/>
        </w:rPr>
        <w:t>Secretario</w:t>
      </w:r>
      <w:proofErr w:type="gramEnd"/>
      <w:r w:rsidRPr="00120074">
        <w:rPr>
          <w:rFonts w:ascii="Book Antiqua" w:hAnsi="Book Antiqua"/>
          <w:lang w:val="es-ES_tradnl"/>
        </w:rPr>
        <w:t xml:space="preserve"> o su designado y no estará sujeto a revisión judicial ni a impugnación por parte del presentante de la acción en corte.</w:t>
      </w:r>
    </w:p>
    <w:p w14:paraId="66DD4940" w14:textId="77777777" w:rsidR="00120074" w:rsidRPr="008D44BD" w:rsidRDefault="00120074" w:rsidP="00120074">
      <w:pPr>
        <w:ind w:left="720" w:firstLine="720"/>
        <w:jc w:val="both"/>
        <w:rPr>
          <w:rFonts w:ascii="Book Antiqua" w:hAnsi="Book Antiqua"/>
          <w:sz w:val="16"/>
          <w:szCs w:val="16"/>
          <w:lang w:val="es-ES_tradnl"/>
        </w:rPr>
      </w:pPr>
    </w:p>
    <w:p w14:paraId="0023855D" w14:textId="42339595" w:rsidR="002E1142" w:rsidRDefault="002E1142" w:rsidP="00120074">
      <w:pPr>
        <w:ind w:firstLine="720"/>
        <w:jc w:val="both"/>
        <w:rPr>
          <w:rFonts w:ascii="Book Antiqua" w:hAnsi="Book Antiqua"/>
          <w:lang w:val="es-ES_tradnl"/>
        </w:rPr>
      </w:pPr>
      <w:r w:rsidRPr="00120074">
        <w:rPr>
          <w:rFonts w:ascii="Book Antiqua" w:hAnsi="Book Antiqua"/>
          <w:lang w:val="es-ES_tradnl"/>
        </w:rPr>
        <w:t>d. Cuando es una persona particular…</w:t>
      </w:r>
    </w:p>
    <w:p w14:paraId="639A5FC1" w14:textId="77777777" w:rsidR="00120074" w:rsidRPr="008D44BD" w:rsidRDefault="00120074" w:rsidP="00120074">
      <w:pPr>
        <w:ind w:firstLine="720"/>
        <w:jc w:val="both"/>
        <w:rPr>
          <w:rFonts w:ascii="Book Antiqua" w:hAnsi="Book Antiqua"/>
          <w:sz w:val="16"/>
          <w:szCs w:val="16"/>
          <w:lang w:val="es-ES_tradnl"/>
        </w:rPr>
      </w:pPr>
    </w:p>
    <w:p w14:paraId="4FFE41B4" w14:textId="47916D61" w:rsidR="002E1142" w:rsidRDefault="002E1142" w:rsidP="00120074">
      <w:pPr>
        <w:ind w:firstLine="360"/>
        <w:jc w:val="both"/>
        <w:rPr>
          <w:rFonts w:ascii="Book Antiqua" w:hAnsi="Book Antiqua"/>
          <w:lang w:val="es-ES_tradnl"/>
        </w:rPr>
      </w:pPr>
      <w:r w:rsidRPr="00120074">
        <w:rPr>
          <w:rFonts w:ascii="Book Antiqua" w:hAnsi="Book Antiqua"/>
          <w:lang w:val="es-ES_tradnl"/>
        </w:rPr>
        <w:t>3.</w:t>
      </w:r>
      <w:r w:rsidRPr="00120074">
        <w:rPr>
          <w:rFonts w:ascii="Book Antiqua" w:hAnsi="Book Antiqua"/>
          <w:b/>
          <w:bCs/>
          <w:lang w:val="es-ES_tradnl"/>
        </w:rPr>
        <w:t xml:space="preserve"> </w:t>
      </w:r>
      <w:r w:rsidR="009A6B8B" w:rsidRPr="00120074">
        <w:rPr>
          <w:rFonts w:ascii="Book Antiqua" w:hAnsi="Book Antiqua"/>
          <w:lang w:val="es-ES_tradnl"/>
        </w:rPr>
        <w:t>Si el Gobierno opta por intervenir con la causa de acción:</w:t>
      </w:r>
    </w:p>
    <w:p w14:paraId="3CF307C8" w14:textId="77777777" w:rsidR="00120074" w:rsidRPr="008D44BD" w:rsidRDefault="00120074" w:rsidP="00120074">
      <w:pPr>
        <w:ind w:firstLine="360"/>
        <w:jc w:val="both"/>
        <w:rPr>
          <w:rFonts w:ascii="Book Antiqua" w:hAnsi="Book Antiqua"/>
          <w:sz w:val="16"/>
          <w:szCs w:val="16"/>
          <w:lang w:val="es-ES_tradnl"/>
        </w:rPr>
      </w:pPr>
    </w:p>
    <w:p w14:paraId="728E2976" w14:textId="4A47988F" w:rsidR="002E1142" w:rsidRDefault="002E1142" w:rsidP="00120074">
      <w:pPr>
        <w:ind w:firstLine="360"/>
        <w:jc w:val="both"/>
        <w:rPr>
          <w:rFonts w:ascii="Book Antiqua" w:hAnsi="Book Antiqua"/>
          <w:snapToGrid w:val="0"/>
          <w:lang w:val="es-PR"/>
        </w:rPr>
      </w:pPr>
      <w:r w:rsidRPr="00120074">
        <w:rPr>
          <w:rFonts w:ascii="Book Antiqua" w:hAnsi="Book Antiqua"/>
          <w:lang w:val="es-ES_tradnl"/>
        </w:rPr>
        <w:tab/>
        <w:t xml:space="preserve">a. El Gobierno </w:t>
      </w:r>
      <w:r w:rsidR="00BF0A5B" w:rsidRPr="00120074">
        <w:rPr>
          <w:rFonts w:ascii="Book Antiqua" w:hAnsi="Book Antiqua"/>
          <w:lang w:val="es-ES_tradnl"/>
        </w:rPr>
        <w:t xml:space="preserve">podrá </w:t>
      </w:r>
      <w:r w:rsidRPr="00120074">
        <w:rPr>
          <w:rFonts w:ascii="Book Antiqua" w:hAnsi="Book Antiqua"/>
          <w:lang w:val="es-ES_tradnl"/>
        </w:rPr>
        <w:t>recomendar</w:t>
      </w:r>
      <w:r w:rsidR="00F1236F" w:rsidRPr="00120074">
        <w:rPr>
          <w:rFonts w:ascii="Book Antiqua" w:hAnsi="Book Antiqua"/>
          <w:lang w:val="es-ES_tradnl"/>
        </w:rPr>
        <w:t xml:space="preserve">, mediante </w:t>
      </w:r>
      <w:r w:rsidR="0071419B" w:rsidRPr="00120074">
        <w:rPr>
          <w:rFonts w:ascii="Book Antiqua" w:hAnsi="Book Antiqua"/>
          <w:lang w:val="es-ES_tradnl"/>
        </w:rPr>
        <w:t>m</w:t>
      </w:r>
      <w:r w:rsidR="00F1236F" w:rsidRPr="00120074">
        <w:rPr>
          <w:rFonts w:ascii="Book Antiqua" w:hAnsi="Book Antiqua"/>
          <w:lang w:val="es-ES_tradnl"/>
        </w:rPr>
        <w:t>oción,</w:t>
      </w:r>
      <w:r w:rsidRPr="00120074">
        <w:rPr>
          <w:rFonts w:ascii="Book Antiqua" w:hAnsi="Book Antiqua"/>
          <w:lang w:val="es-ES_tradnl"/>
        </w:rPr>
        <w:t xml:space="preserve"> archivar la causa de acción en cualquier momento conforme las disposiciones del inciso 2(a) de</w:t>
      </w:r>
      <w:r w:rsidR="006927F4" w:rsidRPr="00120074">
        <w:rPr>
          <w:rFonts w:ascii="Book Antiqua" w:hAnsi="Book Antiqua"/>
          <w:lang w:val="es-ES_tradnl"/>
        </w:rPr>
        <w:t xml:space="preserve"> este Artículo</w:t>
      </w:r>
      <w:r w:rsidRPr="00120074">
        <w:rPr>
          <w:rFonts w:ascii="Book Antiqua" w:hAnsi="Book Antiqua"/>
          <w:lang w:val="es-ES_tradnl"/>
        </w:rPr>
        <w:t>, aunque haya objeción de la</w:t>
      </w:r>
      <w:r w:rsidR="00132633" w:rsidRPr="00120074">
        <w:rPr>
          <w:rFonts w:ascii="Book Antiqua" w:hAnsi="Book Antiqua"/>
          <w:lang w:val="es-ES_tradnl"/>
        </w:rPr>
        <w:t xml:space="preserve"> parte demandante</w:t>
      </w:r>
      <w:r w:rsidRPr="00120074">
        <w:rPr>
          <w:rFonts w:ascii="Book Antiqua" w:hAnsi="Book Antiqua"/>
          <w:lang w:val="es-ES_tradnl"/>
        </w:rPr>
        <w:t>.</w:t>
      </w:r>
      <w:r w:rsidRPr="00120074">
        <w:rPr>
          <w:rFonts w:ascii="Book Antiqua" w:hAnsi="Book Antiqua"/>
          <w:b/>
          <w:bCs/>
          <w:lang w:val="es-ES_tradnl"/>
        </w:rPr>
        <w:t xml:space="preserve"> </w:t>
      </w:r>
      <w:r w:rsidRPr="00120074">
        <w:rPr>
          <w:rFonts w:ascii="Book Antiqua" w:hAnsi="Book Antiqua"/>
          <w:lang w:val="es-ES_tradnl"/>
        </w:rPr>
        <w:t>Luego de notificada la moción a la persona</w:t>
      </w:r>
      <w:r w:rsidR="00B22804" w:rsidRPr="00120074">
        <w:rPr>
          <w:rFonts w:ascii="Book Antiqua" w:hAnsi="Book Antiqua"/>
          <w:lang w:val="es-ES_tradnl"/>
        </w:rPr>
        <w:t xml:space="preserve"> demandante</w:t>
      </w:r>
      <w:r w:rsidRPr="00120074">
        <w:rPr>
          <w:rFonts w:ascii="Book Antiqua" w:hAnsi="Book Antiqua"/>
          <w:lang w:val="es-ES_tradnl"/>
        </w:rPr>
        <w:t xml:space="preserve">, esta tendrá quince (15) días para oponerse a dicha recomendación. En ese caso, el </w:t>
      </w:r>
      <w:r w:rsidR="00461521">
        <w:rPr>
          <w:rFonts w:ascii="Book Antiqua" w:hAnsi="Book Antiqua"/>
          <w:lang w:val="es-ES_tradnl"/>
        </w:rPr>
        <w:t>T</w:t>
      </w:r>
      <w:r w:rsidRPr="00120074">
        <w:rPr>
          <w:rFonts w:ascii="Book Antiqua" w:hAnsi="Book Antiqua"/>
          <w:lang w:val="es-ES_tradnl"/>
        </w:rPr>
        <w:t>ribunal deberá celebrar una vista para discutir la moción de archivo del Gobierno, dentro del término de veinte (20) días de recibida y notificada la objeción de la</w:t>
      </w:r>
      <w:r w:rsidR="00132633" w:rsidRPr="00120074">
        <w:rPr>
          <w:rFonts w:ascii="Book Antiqua" w:hAnsi="Book Antiqua"/>
          <w:lang w:val="es-ES_tradnl"/>
        </w:rPr>
        <w:t xml:space="preserve"> parte demandante</w:t>
      </w:r>
      <w:r w:rsidRPr="00120074">
        <w:rPr>
          <w:rFonts w:ascii="Book Antiqua" w:hAnsi="Book Antiqua"/>
          <w:lang w:val="es-ES_tradnl"/>
        </w:rPr>
        <w:t>.</w:t>
      </w:r>
      <w:r w:rsidR="00401206" w:rsidRPr="00120074">
        <w:rPr>
          <w:rFonts w:ascii="Book Antiqua" w:hAnsi="Book Antiqua"/>
          <w:lang w:val="es-ES_tradnl"/>
        </w:rPr>
        <w:t xml:space="preserve"> </w:t>
      </w:r>
      <w:r w:rsidR="00401206" w:rsidRPr="00120074">
        <w:rPr>
          <w:rFonts w:ascii="Book Antiqua" w:hAnsi="Book Antiqua"/>
          <w:snapToGrid w:val="0"/>
          <w:lang w:val="es-PR"/>
        </w:rPr>
        <w:t>Si la</w:t>
      </w:r>
      <w:r w:rsidR="00C956DF" w:rsidRPr="00120074">
        <w:rPr>
          <w:rFonts w:ascii="Book Antiqua" w:hAnsi="Book Antiqua"/>
          <w:snapToGrid w:val="0"/>
          <w:lang w:val="es-PR"/>
        </w:rPr>
        <w:t xml:space="preserve"> parte demandante</w:t>
      </w:r>
      <w:r w:rsidR="00401206" w:rsidRPr="00120074">
        <w:rPr>
          <w:rFonts w:ascii="Book Antiqua" w:hAnsi="Book Antiqua"/>
          <w:snapToGrid w:val="0"/>
          <w:lang w:val="es-PR"/>
        </w:rPr>
        <w:t xml:space="preserve"> solicita el desistimiento de la causa de acción </w:t>
      </w:r>
      <w:r w:rsidR="00401206" w:rsidRPr="00120074">
        <w:rPr>
          <w:rFonts w:ascii="Book Antiqua" w:hAnsi="Book Antiqua"/>
          <w:snapToGrid w:val="0"/>
          <w:lang w:val="es-PR"/>
        </w:rPr>
        <w:lastRenderedPageBreak/>
        <w:t xml:space="preserve">en cualquier momento del pleito, o si el </w:t>
      </w:r>
      <w:r w:rsidR="00461521">
        <w:rPr>
          <w:rFonts w:ascii="Book Antiqua" w:hAnsi="Book Antiqua"/>
          <w:snapToGrid w:val="0"/>
          <w:lang w:val="es-PR"/>
        </w:rPr>
        <w:t>T</w:t>
      </w:r>
      <w:r w:rsidR="00401206" w:rsidRPr="00120074">
        <w:rPr>
          <w:rFonts w:ascii="Book Antiqua" w:hAnsi="Book Antiqua"/>
          <w:snapToGrid w:val="0"/>
          <w:lang w:val="es-PR"/>
        </w:rPr>
        <w:t>ribunal se apresta a desestimar la acción porque la</w:t>
      </w:r>
      <w:r w:rsidR="00043569" w:rsidRPr="00120074">
        <w:rPr>
          <w:rFonts w:ascii="Book Antiqua" w:hAnsi="Book Antiqua"/>
          <w:snapToGrid w:val="0"/>
          <w:lang w:val="es-PR"/>
        </w:rPr>
        <w:t xml:space="preserve"> parte demandante</w:t>
      </w:r>
      <w:r w:rsidR="00401206" w:rsidRPr="00120074">
        <w:rPr>
          <w:rFonts w:ascii="Book Antiqua" w:hAnsi="Book Antiqua"/>
          <w:snapToGrid w:val="0"/>
          <w:lang w:val="es-PR"/>
        </w:rPr>
        <w:t xml:space="preserve"> deja </w:t>
      </w:r>
      <w:r w:rsidR="008C490F" w:rsidRPr="00120074">
        <w:rPr>
          <w:rFonts w:ascii="Book Antiqua" w:hAnsi="Book Antiqua"/>
          <w:snapToGrid w:val="0"/>
          <w:lang w:val="es-PR"/>
        </w:rPr>
        <w:t xml:space="preserve">de </w:t>
      </w:r>
      <w:r w:rsidR="00401206" w:rsidRPr="00120074">
        <w:rPr>
          <w:rFonts w:ascii="Book Antiqua" w:hAnsi="Book Antiqua"/>
          <w:snapToGrid w:val="0"/>
          <w:lang w:val="es-PR"/>
        </w:rPr>
        <w:t>cumplir con las Reglas de Procedimiento Civil o cualquier orden del tribunal o por inactividad, el Gobierno podrá optar por sustituir</w:t>
      </w:r>
      <w:r w:rsidR="00630F7B" w:rsidRPr="00120074">
        <w:rPr>
          <w:rFonts w:ascii="Book Antiqua" w:hAnsi="Book Antiqua"/>
          <w:snapToGrid w:val="0"/>
          <w:lang w:val="es-PR"/>
        </w:rPr>
        <w:t xml:space="preserve"> a la parte demandante</w:t>
      </w:r>
      <w:r w:rsidR="00401206" w:rsidRPr="00120074">
        <w:rPr>
          <w:rFonts w:ascii="Book Antiqua" w:hAnsi="Book Antiqua"/>
          <w:snapToGrid w:val="0"/>
          <w:lang w:val="es-PR"/>
        </w:rPr>
        <w:t xml:space="preserve"> y continuar con la acción.</w:t>
      </w:r>
      <w:r w:rsidR="00B97D6B" w:rsidRPr="00120074">
        <w:rPr>
          <w:rFonts w:ascii="Book Antiqua" w:hAnsi="Book Antiqua"/>
          <w:snapToGrid w:val="0"/>
          <w:lang w:val="es-PR"/>
        </w:rPr>
        <w:t xml:space="preserve"> E</w:t>
      </w:r>
      <w:r w:rsidR="00401206" w:rsidRPr="00120074">
        <w:rPr>
          <w:rFonts w:ascii="Book Antiqua" w:hAnsi="Book Antiqua"/>
          <w:snapToGrid w:val="0"/>
          <w:lang w:val="es-PR"/>
        </w:rPr>
        <w:t xml:space="preserve">l Gobierno tendrá quince (15) días desde la notificación de la moción de desistimiento o la orden de mostrar causa para no desestimar del </w:t>
      </w:r>
      <w:r w:rsidR="00911EB1">
        <w:rPr>
          <w:rFonts w:ascii="Book Antiqua" w:hAnsi="Book Antiqua"/>
          <w:snapToGrid w:val="0"/>
          <w:lang w:val="es-PR"/>
        </w:rPr>
        <w:t>T</w:t>
      </w:r>
      <w:r w:rsidR="00401206" w:rsidRPr="00120074">
        <w:rPr>
          <w:rFonts w:ascii="Book Antiqua" w:hAnsi="Book Antiqua"/>
          <w:snapToGrid w:val="0"/>
          <w:lang w:val="es-PR"/>
        </w:rPr>
        <w:t xml:space="preserve">ribunal para solicitar la sustitución i) En el caso en que la parte demandante notifique una moción de desistimiento y el Gobierno opte por la sustitución, el </w:t>
      </w:r>
      <w:r w:rsidR="00911EB1">
        <w:rPr>
          <w:rFonts w:ascii="Book Antiqua" w:hAnsi="Book Antiqua"/>
          <w:snapToGrid w:val="0"/>
          <w:lang w:val="es-PR"/>
        </w:rPr>
        <w:t>T</w:t>
      </w:r>
      <w:r w:rsidR="00401206" w:rsidRPr="00120074">
        <w:rPr>
          <w:rFonts w:ascii="Book Antiqua" w:hAnsi="Book Antiqua"/>
          <w:snapToGrid w:val="0"/>
          <w:lang w:val="es-PR"/>
        </w:rPr>
        <w:t xml:space="preserve">ribunal concederá la solicitud del Gobierno automáticamente. </w:t>
      </w:r>
      <w:proofErr w:type="spellStart"/>
      <w:r w:rsidR="00401206" w:rsidRPr="00120074">
        <w:rPr>
          <w:rFonts w:ascii="Book Antiqua" w:hAnsi="Book Antiqua"/>
          <w:snapToGrid w:val="0"/>
          <w:lang w:val="es-PR"/>
        </w:rPr>
        <w:t>ii</w:t>
      </w:r>
      <w:proofErr w:type="spellEnd"/>
      <w:r w:rsidR="00401206" w:rsidRPr="00120074">
        <w:rPr>
          <w:rFonts w:ascii="Book Antiqua" w:hAnsi="Book Antiqua"/>
          <w:snapToGrid w:val="0"/>
          <w:lang w:val="es-PR"/>
        </w:rPr>
        <w:t xml:space="preserve">) En el caso en que el tribunal emita una orden de mostrar causa por la cual no desestimar por inactividad o incumplimiento con las órdenes del </w:t>
      </w:r>
      <w:r w:rsidR="00911EB1">
        <w:rPr>
          <w:rFonts w:ascii="Book Antiqua" w:hAnsi="Book Antiqua"/>
          <w:snapToGrid w:val="0"/>
          <w:lang w:val="es-PR"/>
        </w:rPr>
        <w:t>T</w:t>
      </w:r>
      <w:r w:rsidR="00401206" w:rsidRPr="00120074">
        <w:rPr>
          <w:rFonts w:ascii="Book Antiqua" w:hAnsi="Book Antiqua"/>
          <w:snapToGrid w:val="0"/>
          <w:lang w:val="es-PR"/>
        </w:rPr>
        <w:t xml:space="preserve">ribunal o con las Reglas de Procedimiento Civil, la parte demandante tendrá quince (15) días para someter una moción en cumplimiento de orden. Si el Gobierno solicita la sustitución, la parte demandante tendrá quince (15) días desde que esta se le notifique para presentar su objeción. De así hacerlo, el </w:t>
      </w:r>
      <w:r w:rsidR="00911EB1">
        <w:rPr>
          <w:rFonts w:ascii="Book Antiqua" w:hAnsi="Book Antiqua"/>
          <w:snapToGrid w:val="0"/>
          <w:lang w:val="es-PR"/>
        </w:rPr>
        <w:t>T</w:t>
      </w:r>
      <w:r w:rsidR="00401206" w:rsidRPr="00120074">
        <w:rPr>
          <w:rFonts w:ascii="Book Antiqua" w:hAnsi="Book Antiqua"/>
          <w:snapToGrid w:val="0"/>
          <w:lang w:val="es-PR"/>
        </w:rPr>
        <w:t xml:space="preserve">ribunal deberá celebrar una vista para discutir la solicitud de sustitución del Gobierno dentro de un término de veinte (20) días de recibida y notificada la objeción. El </w:t>
      </w:r>
      <w:r w:rsidR="00911EB1">
        <w:rPr>
          <w:rFonts w:ascii="Book Antiqua" w:hAnsi="Book Antiqua"/>
          <w:snapToGrid w:val="0"/>
          <w:lang w:val="es-PR"/>
        </w:rPr>
        <w:t>T</w:t>
      </w:r>
      <w:r w:rsidR="00401206" w:rsidRPr="00120074">
        <w:rPr>
          <w:rFonts w:ascii="Book Antiqua" w:hAnsi="Book Antiqua"/>
          <w:snapToGrid w:val="0"/>
          <w:lang w:val="es-PR"/>
        </w:rPr>
        <w:t xml:space="preserve">ribunal deberá evaluar si la sustitución </w:t>
      </w:r>
      <w:r w:rsidR="00D616EC" w:rsidRPr="00120074">
        <w:rPr>
          <w:rFonts w:ascii="Book Antiqua" w:hAnsi="Book Antiqua"/>
          <w:snapToGrid w:val="0"/>
          <w:lang w:val="es-PR"/>
        </w:rPr>
        <w:t xml:space="preserve">obrará </w:t>
      </w:r>
      <w:r w:rsidR="00401206" w:rsidRPr="00120074">
        <w:rPr>
          <w:rFonts w:ascii="Book Antiqua" w:hAnsi="Book Antiqua"/>
          <w:snapToGrid w:val="0"/>
          <w:lang w:val="es-PR"/>
        </w:rPr>
        <w:t xml:space="preserve">a favor del interés público de </w:t>
      </w:r>
      <w:r w:rsidR="006C692C" w:rsidRPr="00120074">
        <w:rPr>
          <w:rFonts w:ascii="Book Antiqua" w:hAnsi="Book Antiqua"/>
          <w:snapToGrid w:val="0"/>
          <w:lang w:val="es-PR"/>
        </w:rPr>
        <w:t>adelantar</w:t>
      </w:r>
      <w:r w:rsidR="00401206" w:rsidRPr="00120074">
        <w:rPr>
          <w:rFonts w:ascii="Book Antiqua" w:hAnsi="Book Antiqua"/>
          <w:snapToGrid w:val="0"/>
          <w:lang w:val="es-PR"/>
        </w:rPr>
        <w:t xml:space="preserve"> la acción.</w:t>
      </w:r>
    </w:p>
    <w:p w14:paraId="0C94804B" w14:textId="77777777" w:rsidR="00120074" w:rsidRPr="008D44BD" w:rsidRDefault="00120074" w:rsidP="00120074">
      <w:pPr>
        <w:ind w:firstLine="360"/>
        <w:jc w:val="both"/>
        <w:rPr>
          <w:rFonts w:ascii="Book Antiqua" w:hAnsi="Book Antiqua"/>
          <w:b/>
          <w:bCs/>
          <w:sz w:val="16"/>
          <w:szCs w:val="16"/>
          <w:lang w:val="es-PR"/>
        </w:rPr>
      </w:pPr>
    </w:p>
    <w:p w14:paraId="4C61B198" w14:textId="221E7F7D" w:rsidR="002E1142" w:rsidRDefault="005C4570" w:rsidP="00120074">
      <w:pPr>
        <w:ind w:firstLine="360"/>
        <w:jc w:val="both"/>
        <w:rPr>
          <w:rFonts w:ascii="Book Antiqua" w:hAnsi="Book Antiqua"/>
          <w:lang w:val="es-PR"/>
        </w:rPr>
      </w:pPr>
      <w:r w:rsidRPr="00120074">
        <w:rPr>
          <w:rFonts w:ascii="Book Antiqua" w:hAnsi="Book Antiqua"/>
          <w:lang w:val="es-PR"/>
        </w:rPr>
        <w:tab/>
        <w:t xml:space="preserve">b. </w:t>
      </w:r>
      <w:r w:rsidR="00AB0710" w:rsidRPr="00120074">
        <w:rPr>
          <w:rFonts w:ascii="Book Antiqua" w:hAnsi="Book Antiqua"/>
          <w:lang w:val="es-PR"/>
        </w:rPr>
        <w:t xml:space="preserve">La parte demandante </w:t>
      </w:r>
      <w:r w:rsidRPr="00120074">
        <w:rPr>
          <w:rFonts w:ascii="Book Antiqua" w:hAnsi="Book Antiqua"/>
          <w:lang w:val="es-PR"/>
        </w:rPr>
        <w:t xml:space="preserve">y el Gobierno </w:t>
      </w:r>
      <w:r w:rsidR="00213709" w:rsidRPr="00120074">
        <w:rPr>
          <w:rFonts w:ascii="Book Antiqua" w:hAnsi="Book Antiqua"/>
          <w:lang w:val="es-PR"/>
        </w:rPr>
        <w:t xml:space="preserve">podrán </w:t>
      </w:r>
      <w:r w:rsidRPr="00120074">
        <w:rPr>
          <w:rFonts w:ascii="Book Antiqua" w:hAnsi="Book Antiqua"/>
          <w:lang w:val="es-PR"/>
        </w:rPr>
        <w:t xml:space="preserve">llegar a un acuerdo con la parte demandada. Esto luego de que el </w:t>
      </w:r>
      <w:r w:rsidR="00911EB1">
        <w:rPr>
          <w:rFonts w:ascii="Book Antiqua" w:hAnsi="Book Antiqua"/>
          <w:lang w:val="es-PR"/>
        </w:rPr>
        <w:t>T</w:t>
      </w:r>
      <w:r w:rsidRPr="00120074">
        <w:rPr>
          <w:rFonts w:ascii="Book Antiqua" w:hAnsi="Book Antiqua"/>
          <w:lang w:val="es-PR"/>
        </w:rPr>
        <w:t xml:space="preserve">ribunal evalúe durante una vista si el acuerdo es justo, razonable, adecuado y se </w:t>
      </w:r>
      <w:r w:rsidR="00213709" w:rsidRPr="00120074">
        <w:rPr>
          <w:rFonts w:ascii="Book Antiqua" w:hAnsi="Book Antiqua"/>
          <w:lang w:val="es-PR"/>
        </w:rPr>
        <w:t xml:space="preserve">realiza </w:t>
      </w:r>
      <w:r w:rsidRPr="00120074">
        <w:rPr>
          <w:rFonts w:ascii="Book Antiqua" w:hAnsi="Book Antiqua"/>
          <w:lang w:val="es-PR"/>
        </w:rPr>
        <w:t>de buena fe.</w:t>
      </w:r>
    </w:p>
    <w:p w14:paraId="140F47CD" w14:textId="77777777" w:rsidR="00120074" w:rsidRPr="008D44BD" w:rsidRDefault="00120074" w:rsidP="00120074">
      <w:pPr>
        <w:ind w:firstLine="360"/>
        <w:jc w:val="both"/>
        <w:rPr>
          <w:rFonts w:ascii="Book Antiqua" w:hAnsi="Book Antiqua"/>
          <w:sz w:val="16"/>
          <w:szCs w:val="16"/>
          <w:lang w:val="es-PR"/>
        </w:rPr>
      </w:pPr>
    </w:p>
    <w:p w14:paraId="06F88E22" w14:textId="7A44DE14" w:rsidR="005C4570" w:rsidRDefault="005C4570" w:rsidP="00120074">
      <w:pPr>
        <w:ind w:firstLine="360"/>
        <w:jc w:val="both"/>
        <w:rPr>
          <w:rFonts w:ascii="Book Antiqua" w:hAnsi="Book Antiqua"/>
          <w:lang w:val="es-PR"/>
        </w:rPr>
      </w:pPr>
      <w:r w:rsidRPr="00120074">
        <w:rPr>
          <w:rFonts w:ascii="Book Antiqua" w:hAnsi="Book Antiqua"/>
          <w:lang w:val="es-PR"/>
        </w:rPr>
        <w:t>4. Si el Gobierno decide no intervenir en la causa de acción, la persona que presentó la demanda en beneficio y a favor del Gobierno podrá continuar gestionando la acción ante el tribunal. De continuar esta gestión, el</w:t>
      </w:r>
      <w:r w:rsidR="00A76A51" w:rsidRPr="00120074">
        <w:rPr>
          <w:rFonts w:ascii="Book Antiqua" w:hAnsi="Book Antiqua"/>
          <w:lang w:val="es-PR"/>
        </w:rPr>
        <w:t xml:space="preserve"> delator</w:t>
      </w:r>
      <w:r w:rsidRPr="00120074">
        <w:rPr>
          <w:rFonts w:ascii="Book Antiqua" w:hAnsi="Book Antiqua"/>
          <w:lang w:val="es-PR"/>
        </w:rPr>
        <w:t xml:space="preserve"> no estará autorizado a entrar en acuerdos de transacción algunos a nombre del Gobierno, hasta tanto la propuesta de acuerdo de transacción o solicitud de desistimiento de la causa de acción sea sometida a la consideración del </w:t>
      </w:r>
      <w:proofErr w:type="gramStart"/>
      <w:r w:rsidRPr="00120074">
        <w:rPr>
          <w:rFonts w:ascii="Book Antiqua" w:hAnsi="Book Antiqua"/>
          <w:lang w:val="es-PR"/>
        </w:rPr>
        <w:t>Secretario</w:t>
      </w:r>
      <w:proofErr w:type="gramEnd"/>
      <w:r w:rsidRPr="00120074">
        <w:rPr>
          <w:rFonts w:ascii="Book Antiqua" w:hAnsi="Book Antiqua"/>
          <w:lang w:val="es-PR"/>
        </w:rPr>
        <w:t xml:space="preserve"> o su designado para aprobación. Todo pago por concepto de transacción será emitido a nombre del </w:t>
      </w:r>
      <w:proofErr w:type="gramStart"/>
      <w:r w:rsidRPr="00120074">
        <w:rPr>
          <w:rFonts w:ascii="Book Antiqua" w:hAnsi="Book Antiqua"/>
          <w:lang w:val="es-PR"/>
        </w:rPr>
        <w:t>Secretario</w:t>
      </w:r>
      <w:proofErr w:type="gramEnd"/>
      <w:r w:rsidRPr="00120074">
        <w:rPr>
          <w:rFonts w:ascii="Book Antiqua" w:hAnsi="Book Antiqua"/>
          <w:lang w:val="es-PR"/>
        </w:rPr>
        <w:t xml:space="preserve"> de Hacienda de Puerto Rico. Cualquier compensación que se otorgue a un delator, será objeto de acuerdo entre el Gobierno y el delator. En los casos que el Gobierno decida no intervenir</w:t>
      </w:r>
      <w:r w:rsidR="0030316E" w:rsidRPr="00120074">
        <w:rPr>
          <w:rFonts w:ascii="Book Antiqua" w:hAnsi="Book Antiqua"/>
          <w:lang w:val="es-PR"/>
        </w:rPr>
        <w:t xml:space="preserve"> </w:t>
      </w:r>
      <w:r w:rsidR="009A6B8B" w:rsidRPr="00120074">
        <w:rPr>
          <w:rFonts w:ascii="Book Antiqua" w:hAnsi="Book Antiqua"/>
          <w:lang w:val="es-PR"/>
        </w:rPr>
        <w:t>y el delator decida continuar con el litigio</w:t>
      </w:r>
      <w:r w:rsidRPr="00120074">
        <w:rPr>
          <w:rFonts w:ascii="Book Antiqua" w:hAnsi="Book Antiqua"/>
          <w:lang w:val="es-PR"/>
        </w:rPr>
        <w:t xml:space="preserve">, el </w:t>
      </w:r>
      <w:proofErr w:type="gramStart"/>
      <w:r w:rsidRPr="00120074">
        <w:rPr>
          <w:rFonts w:ascii="Book Antiqua" w:hAnsi="Book Antiqua"/>
          <w:lang w:val="es-PR"/>
        </w:rPr>
        <w:t>Secretario</w:t>
      </w:r>
      <w:proofErr w:type="gramEnd"/>
      <w:r w:rsidRPr="00120074">
        <w:rPr>
          <w:rFonts w:ascii="Book Antiqua" w:hAnsi="Book Antiqua"/>
          <w:lang w:val="es-PR"/>
        </w:rPr>
        <w:t xml:space="preserve"> pudiera requerir que se le notifique de toda moción presentada y que se le provea copia de toda evidencia presentada, incluyendo transcripciones de deposiciones a cargo y cuenta del delator. De prevalecer en el pleito, además de la compensación que se le asigne por el referido y gestión, el delator podrá solicitar reembolso de gastos necesarios y razonables en los que haya incurrido y que no hayan sido repuestos por el </w:t>
      </w:r>
      <w:r w:rsidR="00911EB1">
        <w:rPr>
          <w:rFonts w:ascii="Book Antiqua" w:hAnsi="Book Antiqua"/>
          <w:lang w:val="es-PR"/>
        </w:rPr>
        <w:t>T</w:t>
      </w:r>
      <w:r w:rsidRPr="00120074">
        <w:rPr>
          <w:rFonts w:ascii="Book Antiqua" w:hAnsi="Book Antiqua"/>
          <w:lang w:val="es-PR"/>
        </w:rPr>
        <w:t xml:space="preserve">ribunal mediante costas y honorarios de abogado. El Gobierno no estará sujeto a pagarle honorarios de abogado al delator, y tampoco estará sujeto al pago de honorarios de abogado a la parte contraria, de haber declinado intervenir y el delator haber continuado con el pleito. En cualquier momento una vez iniciada la causa de acción, el </w:t>
      </w:r>
      <w:r w:rsidR="00911EB1">
        <w:rPr>
          <w:rFonts w:ascii="Book Antiqua" w:hAnsi="Book Antiqua"/>
          <w:lang w:val="es-PR"/>
        </w:rPr>
        <w:t>T</w:t>
      </w:r>
      <w:r w:rsidRPr="00120074">
        <w:rPr>
          <w:rFonts w:ascii="Book Antiqua" w:hAnsi="Book Antiqua"/>
          <w:lang w:val="es-PR"/>
        </w:rPr>
        <w:t xml:space="preserve">ribunal podrá permitir la intervención del Gobierno en los procedimientos si entiende que existe justa causa para ello, y mediante solicitud expresa del </w:t>
      </w:r>
      <w:proofErr w:type="gramStart"/>
      <w:r w:rsidRPr="00120074">
        <w:rPr>
          <w:rFonts w:ascii="Book Antiqua" w:hAnsi="Book Antiqua"/>
          <w:lang w:val="es-PR"/>
        </w:rPr>
        <w:t>Secretario</w:t>
      </w:r>
      <w:proofErr w:type="gramEnd"/>
      <w:r w:rsidRPr="00120074">
        <w:rPr>
          <w:rFonts w:ascii="Book Antiqua" w:hAnsi="Book Antiqua"/>
          <w:lang w:val="es-PR"/>
        </w:rPr>
        <w:t xml:space="preserve"> o su designado. El </w:t>
      </w:r>
      <w:r w:rsidR="00911EB1">
        <w:rPr>
          <w:rFonts w:ascii="Book Antiqua" w:hAnsi="Book Antiqua"/>
          <w:lang w:val="es-PR"/>
        </w:rPr>
        <w:t>T</w:t>
      </w:r>
      <w:r w:rsidRPr="00120074">
        <w:rPr>
          <w:rFonts w:ascii="Book Antiqua" w:hAnsi="Book Antiqua"/>
          <w:lang w:val="es-PR"/>
        </w:rPr>
        <w:t xml:space="preserve">ribunal no tendrá jurisdicción para obligar al </w:t>
      </w:r>
      <w:proofErr w:type="gramStart"/>
      <w:r w:rsidRPr="00120074">
        <w:rPr>
          <w:rFonts w:ascii="Book Antiqua" w:hAnsi="Book Antiqua"/>
          <w:lang w:val="es-PR"/>
        </w:rPr>
        <w:t>Secretario</w:t>
      </w:r>
      <w:proofErr w:type="gramEnd"/>
      <w:r w:rsidRPr="00120074">
        <w:rPr>
          <w:rFonts w:ascii="Book Antiqua" w:hAnsi="Book Antiqua"/>
          <w:lang w:val="es-PR"/>
        </w:rPr>
        <w:t xml:space="preserve"> a intervenir o no en determinado pleito. De igual manera, el Gobierno puede solicitarle al </w:t>
      </w:r>
      <w:r w:rsidR="00911EB1">
        <w:rPr>
          <w:rFonts w:ascii="Book Antiqua" w:hAnsi="Book Antiqua"/>
          <w:lang w:val="es-PR"/>
        </w:rPr>
        <w:t>T</w:t>
      </w:r>
      <w:r w:rsidRPr="00120074">
        <w:rPr>
          <w:rFonts w:ascii="Book Antiqua" w:hAnsi="Book Antiqua"/>
          <w:lang w:val="es-PR"/>
        </w:rPr>
        <w:t xml:space="preserve">ribunal que limite los testigos que el delator pretende presentar, los </w:t>
      </w:r>
      <w:r w:rsidRPr="00120074">
        <w:rPr>
          <w:rFonts w:ascii="Book Antiqua" w:hAnsi="Book Antiqua"/>
          <w:lang w:val="es-PR"/>
        </w:rPr>
        <w:lastRenderedPageBreak/>
        <w:t>testimonios y los contrainterrogatorios que vaya a</w:t>
      </w:r>
      <w:r w:rsidR="00AB6C2B" w:rsidRPr="00120074">
        <w:rPr>
          <w:rFonts w:ascii="Book Antiqua" w:hAnsi="Book Antiqua"/>
          <w:lang w:val="es-PR"/>
        </w:rPr>
        <w:t xml:space="preserve"> realizar</w:t>
      </w:r>
      <w:r w:rsidRPr="00120074">
        <w:rPr>
          <w:rFonts w:ascii="Book Antiqua" w:hAnsi="Book Antiqua"/>
          <w:lang w:val="es-PR"/>
        </w:rPr>
        <w:t xml:space="preserve"> si el Gobierno entiende que no limitarlo afectaría una investigación criminal relacionada o si entiende que de no hacerlo los testimonios serían repetitivos, irrelevantes o alargarían el proceso innecesariamente.</w:t>
      </w:r>
    </w:p>
    <w:p w14:paraId="6E3FA30E" w14:textId="77777777" w:rsidR="00120074" w:rsidRPr="008D44BD" w:rsidRDefault="00120074" w:rsidP="00120074">
      <w:pPr>
        <w:ind w:firstLine="360"/>
        <w:jc w:val="both"/>
        <w:rPr>
          <w:rFonts w:ascii="Book Antiqua" w:hAnsi="Book Antiqua"/>
          <w:sz w:val="16"/>
          <w:szCs w:val="16"/>
          <w:lang w:val="es-PR"/>
        </w:rPr>
      </w:pPr>
    </w:p>
    <w:p w14:paraId="4E321BA6" w14:textId="6BA0D315" w:rsidR="000313DD" w:rsidRDefault="00065C77" w:rsidP="00120074">
      <w:pPr>
        <w:ind w:firstLine="360"/>
        <w:jc w:val="both"/>
        <w:rPr>
          <w:rFonts w:ascii="Book Antiqua" w:hAnsi="Book Antiqua"/>
          <w:lang w:val="es-PR"/>
        </w:rPr>
      </w:pPr>
      <w:r w:rsidRPr="00120074">
        <w:rPr>
          <w:rFonts w:ascii="Book Antiqua" w:hAnsi="Book Antiqua"/>
          <w:lang w:val="es-PR"/>
        </w:rPr>
        <w:t xml:space="preserve">El </w:t>
      </w:r>
      <w:r w:rsidR="00911EB1">
        <w:rPr>
          <w:rFonts w:ascii="Book Antiqua" w:hAnsi="Book Antiqua"/>
          <w:lang w:val="es-PR"/>
        </w:rPr>
        <w:t>T</w:t>
      </w:r>
      <w:r w:rsidRPr="00120074">
        <w:rPr>
          <w:rFonts w:ascii="Book Antiqua" w:hAnsi="Book Antiqua"/>
          <w:lang w:val="es-PR"/>
        </w:rPr>
        <w:t xml:space="preserve">ribunal </w:t>
      </w:r>
      <w:r w:rsidRPr="00120074">
        <w:rPr>
          <w:rFonts w:ascii="Book Antiqua" w:hAnsi="Book Antiqua"/>
          <w:lang w:val="es-ES_tradnl"/>
        </w:rPr>
        <w:t>–</w:t>
      </w:r>
      <w:r w:rsidRPr="00120074">
        <w:rPr>
          <w:rFonts w:ascii="Book Antiqua" w:hAnsi="Book Antiqua"/>
          <w:lang w:val="es-PR"/>
        </w:rPr>
        <w:t>a solicitud del Gobierno</w:t>
      </w:r>
      <w:r w:rsidRPr="00120074">
        <w:rPr>
          <w:rFonts w:ascii="Book Antiqua" w:hAnsi="Book Antiqua"/>
          <w:lang w:val="es-ES_tradnl"/>
        </w:rPr>
        <w:t xml:space="preserve">– </w:t>
      </w:r>
      <w:r w:rsidRPr="00120074">
        <w:rPr>
          <w:rFonts w:ascii="Book Antiqua" w:hAnsi="Book Antiqua"/>
          <w:lang w:val="es-PR"/>
        </w:rPr>
        <w:t xml:space="preserve">puede paralizar el descubrimiento de prueba por un periodo </w:t>
      </w:r>
      <w:r w:rsidR="00062D9E" w:rsidRPr="00120074">
        <w:rPr>
          <w:rFonts w:ascii="Book Antiqua" w:hAnsi="Book Antiqua"/>
          <w:lang w:val="es-PR"/>
        </w:rPr>
        <w:t xml:space="preserve">no mayor </w:t>
      </w:r>
      <w:r w:rsidRPr="00120074">
        <w:rPr>
          <w:rFonts w:ascii="Book Antiqua" w:hAnsi="Book Antiqua"/>
          <w:lang w:val="es-PR"/>
        </w:rPr>
        <w:t xml:space="preserve">de sesenta (60) días si el Gobierno le prueba que, parte o toda la evidencia a ser descubierta puede interferir con alguna otra investigación criminal o civil que surja de los mismos hechos o de hechos parecidos. Esta vista para solicitar la paralización del descubrimiento de prueba se efectuará de manera privada. El término de sesenta (60) días podrá extenderse a solicitud del Gobierno si el </w:t>
      </w:r>
      <w:r w:rsidR="00911EB1">
        <w:rPr>
          <w:rFonts w:ascii="Book Antiqua" w:hAnsi="Book Antiqua"/>
          <w:lang w:val="es-PR"/>
        </w:rPr>
        <w:t>T</w:t>
      </w:r>
      <w:r w:rsidRPr="00120074">
        <w:rPr>
          <w:rFonts w:ascii="Book Antiqua" w:hAnsi="Book Antiqua"/>
          <w:lang w:val="es-PR"/>
        </w:rPr>
        <w:t>ribunal entiende que se ha actuado de buena fe y que continuar con el descubrimiento de prueba afectaría otras investigaciones en curso.”</w:t>
      </w:r>
    </w:p>
    <w:p w14:paraId="55729A62" w14:textId="77777777" w:rsidR="00120074" w:rsidRPr="008D44BD" w:rsidRDefault="00120074" w:rsidP="00120074">
      <w:pPr>
        <w:ind w:firstLine="360"/>
        <w:jc w:val="both"/>
        <w:rPr>
          <w:rFonts w:ascii="Book Antiqua" w:hAnsi="Book Antiqua"/>
          <w:sz w:val="16"/>
          <w:szCs w:val="16"/>
          <w:lang w:val="es-PR"/>
        </w:rPr>
      </w:pPr>
    </w:p>
    <w:p w14:paraId="331B2DDA" w14:textId="1EF4F3EF" w:rsidR="00061884" w:rsidRDefault="00A402DA" w:rsidP="00120074">
      <w:pPr>
        <w:ind w:firstLine="360"/>
        <w:jc w:val="both"/>
        <w:rPr>
          <w:rFonts w:ascii="Book Antiqua" w:hAnsi="Book Antiqua"/>
          <w:lang w:val="es-ES_tradnl"/>
        </w:rPr>
      </w:pPr>
      <w:r w:rsidRPr="00120074">
        <w:rPr>
          <w:rFonts w:ascii="Book Antiqua" w:hAnsi="Book Antiqua"/>
          <w:lang w:val="es-ES_tradnl"/>
        </w:rPr>
        <w:t xml:space="preserve">Sección </w:t>
      </w:r>
      <w:r w:rsidR="00061884" w:rsidRPr="00120074">
        <w:rPr>
          <w:rFonts w:ascii="Book Antiqua" w:hAnsi="Book Antiqua"/>
          <w:lang w:val="es-ES_tradnl"/>
        </w:rPr>
        <w:t xml:space="preserve">2.- </w:t>
      </w:r>
      <w:r w:rsidR="00683D68" w:rsidRPr="00120074">
        <w:rPr>
          <w:rFonts w:ascii="Book Antiqua" w:hAnsi="Book Antiqua"/>
          <w:lang w:val="es-ES_tradnl"/>
        </w:rPr>
        <w:t xml:space="preserve">Enmendar </w:t>
      </w:r>
      <w:r w:rsidR="00065C77" w:rsidRPr="00120074">
        <w:rPr>
          <w:rFonts w:ascii="Book Antiqua" w:hAnsi="Book Antiqua"/>
          <w:lang w:val="es-ES_tradnl"/>
        </w:rPr>
        <w:t>el Artículo 4.03 de la Ley 154-2018, según enmendada, para que lea como sigue:</w:t>
      </w:r>
    </w:p>
    <w:p w14:paraId="276E5E31" w14:textId="77777777" w:rsidR="00120074" w:rsidRPr="008D44BD" w:rsidRDefault="00120074" w:rsidP="00120074">
      <w:pPr>
        <w:ind w:firstLine="360"/>
        <w:jc w:val="both"/>
        <w:rPr>
          <w:rFonts w:ascii="Book Antiqua" w:hAnsi="Book Antiqua"/>
          <w:sz w:val="16"/>
          <w:szCs w:val="16"/>
          <w:lang w:val="es-ES_tradnl"/>
        </w:rPr>
      </w:pPr>
    </w:p>
    <w:p w14:paraId="4FF673AD" w14:textId="7173F900" w:rsidR="00683D68" w:rsidRDefault="00683D68" w:rsidP="00120074">
      <w:pPr>
        <w:ind w:firstLine="360"/>
        <w:jc w:val="both"/>
        <w:rPr>
          <w:rFonts w:ascii="Book Antiqua" w:hAnsi="Book Antiqua"/>
          <w:lang w:val="es-ES_tradnl"/>
        </w:rPr>
      </w:pPr>
      <w:r w:rsidRPr="00120074">
        <w:rPr>
          <w:rFonts w:ascii="Book Antiqua" w:hAnsi="Book Antiqua"/>
          <w:lang w:val="es-ES_tradnl"/>
        </w:rPr>
        <w:t xml:space="preserve">“Artículo 4.03.- Compensación. </w:t>
      </w:r>
    </w:p>
    <w:p w14:paraId="02EBEA79" w14:textId="77777777" w:rsidR="00120074" w:rsidRPr="008D44BD" w:rsidRDefault="00120074" w:rsidP="00120074">
      <w:pPr>
        <w:ind w:firstLine="360"/>
        <w:jc w:val="both"/>
        <w:rPr>
          <w:rFonts w:ascii="Book Antiqua" w:hAnsi="Book Antiqua"/>
          <w:sz w:val="16"/>
          <w:szCs w:val="16"/>
          <w:lang w:val="es-ES_tradnl"/>
        </w:rPr>
      </w:pPr>
    </w:p>
    <w:p w14:paraId="73A35885" w14:textId="7B60557B" w:rsidR="00065C77" w:rsidRDefault="00065C77" w:rsidP="00120074">
      <w:pPr>
        <w:ind w:firstLine="360"/>
        <w:jc w:val="both"/>
        <w:rPr>
          <w:rFonts w:ascii="Book Antiqua" w:hAnsi="Book Antiqua"/>
          <w:lang w:val="es-ES_tradnl"/>
        </w:rPr>
      </w:pPr>
      <w:r w:rsidRPr="00120074">
        <w:rPr>
          <w:rFonts w:ascii="Book Antiqua" w:hAnsi="Book Antiqua"/>
          <w:lang w:val="es-ES_tradnl"/>
        </w:rPr>
        <w:t xml:space="preserve">1. Si el Gobierno </w:t>
      </w:r>
      <w:r w:rsidR="00A36052" w:rsidRPr="00120074">
        <w:rPr>
          <w:rFonts w:ascii="Book Antiqua" w:hAnsi="Book Antiqua"/>
          <w:lang w:val="es-ES_tradnl"/>
        </w:rPr>
        <w:t>figura como parte interventora en</w:t>
      </w:r>
      <w:r w:rsidRPr="00120074">
        <w:rPr>
          <w:rFonts w:ascii="Book Antiqua" w:hAnsi="Book Antiqua"/>
          <w:lang w:val="es-ES_tradnl"/>
        </w:rPr>
        <w:t xml:space="preserve"> la causa de acción, la persona que presentó la demanda o el delator tiene derecho a recibir no menos de quince</w:t>
      </w:r>
      <w:r w:rsidR="00911EB1">
        <w:rPr>
          <w:rFonts w:ascii="Book Antiqua" w:hAnsi="Book Antiqua"/>
          <w:lang w:val="es-ES_tradnl"/>
        </w:rPr>
        <w:t xml:space="preserve"> (15)</w:t>
      </w:r>
      <w:r w:rsidRPr="00120074">
        <w:rPr>
          <w:rFonts w:ascii="Book Antiqua" w:hAnsi="Book Antiqua"/>
          <w:lang w:val="es-ES_tradnl"/>
        </w:rPr>
        <w:t xml:space="preserve"> por </w:t>
      </w:r>
      <w:proofErr w:type="gramStart"/>
      <w:r w:rsidRPr="00120074">
        <w:rPr>
          <w:rFonts w:ascii="Book Antiqua" w:hAnsi="Book Antiqua"/>
          <w:lang w:val="es-ES_tradnl"/>
        </w:rPr>
        <w:t>ciento</w:t>
      </w:r>
      <w:proofErr w:type="gramEnd"/>
      <w:r w:rsidRPr="00120074">
        <w:rPr>
          <w:rFonts w:ascii="Book Antiqua" w:hAnsi="Book Antiqua"/>
          <w:lang w:val="es-ES_tradnl"/>
        </w:rPr>
        <w:t xml:space="preserve"> pero no más </w:t>
      </w:r>
      <w:proofErr w:type="spellStart"/>
      <w:r w:rsidRPr="00120074">
        <w:rPr>
          <w:rFonts w:ascii="Book Antiqua" w:hAnsi="Book Antiqua"/>
          <w:lang w:val="es-ES_tradnl"/>
        </w:rPr>
        <w:t>del</w:t>
      </w:r>
      <w:proofErr w:type="spellEnd"/>
      <w:r w:rsidRPr="00120074">
        <w:rPr>
          <w:rFonts w:ascii="Book Antiqua" w:hAnsi="Book Antiqua"/>
          <w:lang w:val="es-ES_tradnl"/>
        </w:rPr>
        <w:t xml:space="preserve"> veinticinco</w:t>
      </w:r>
      <w:r w:rsidR="00911EB1">
        <w:rPr>
          <w:rFonts w:ascii="Book Antiqua" w:hAnsi="Book Antiqua"/>
          <w:lang w:val="es-ES_tradnl"/>
        </w:rPr>
        <w:t xml:space="preserve"> (25)</w:t>
      </w:r>
      <w:r w:rsidRPr="00120074">
        <w:rPr>
          <w:rFonts w:ascii="Book Antiqua" w:hAnsi="Book Antiqua"/>
          <w:lang w:val="es-ES_tradnl"/>
        </w:rPr>
        <w:t xml:space="preserve"> por ciento de la cuantía cobrada por el Gobierno por las violaciones al programa de Gobierno o al contrato de servicio, según sea el caso. Entiéndase, que el derecho a compensación se activa una vez el Gobierno haya podido ejecutar la sentencia o acuerdo transaccional y en efecto haya recibido pago. Mientras el Gobierno no reciba pago, el </w:t>
      </w:r>
      <w:r w:rsidR="00872836" w:rsidRPr="00120074">
        <w:rPr>
          <w:rFonts w:ascii="Book Antiqua" w:hAnsi="Book Antiqua"/>
          <w:lang w:val="es-ES_tradnl"/>
        </w:rPr>
        <w:t xml:space="preserve">delator </w:t>
      </w:r>
      <w:r w:rsidRPr="00120074">
        <w:rPr>
          <w:rFonts w:ascii="Book Antiqua" w:hAnsi="Book Antiqua"/>
          <w:lang w:val="es-ES_tradnl"/>
        </w:rPr>
        <w:t xml:space="preserve">no tendrá derecho a cobrar su porcentaje. A falta de acuerdo entre el Gobierno y delator, será el </w:t>
      </w:r>
      <w:r w:rsidR="00911EB1">
        <w:rPr>
          <w:rFonts w:ascii="Book Antiqua" w:hAnsi="Book Antiqua"/>
          <w:lang w:val="es-ES_tradnl"/>
        </w:rPr>
        <w:t>T</w:t>
      </w:r>
      <w:r w:rsidRPr="00120074">
        <w:rPr>
          <w:rFonts w:ascii="Book Antiqua" w:hAnsi="Book Antiqua"/>
          <w:lang w:val="es-ES_tradnl"/>
        </w:rPr>
        <w:t xml:space="preserve">ribunal quien fijará qué porciento, entre los establecidos en esta </w:t>
      </w:r>
      <w:r w:rsidR="00911EB1">
        <w:rPr>
          <w:rFonts w:ascii="Book Antiqua" w:hAnsi="Book Antiqua"/>
          <w:lang w:val="es-ES_tradnl"/>
        </w:rPr>
        <w:t>S</w:t>
      </w:r>
      <w:r w:rsidRPr="00120074">
        <w:rPr>
          <w:rFonts w:ascii="Book Antiqua" w:hAnsi="Book Antiqua"/>
          <w:lang w:val="es-ES_tradnl"/>
        </w:rPr>
        <w:t>ección, recibirá la parte que presentó la demanda.</w:t>
      </w:r>
    </w:p>
    <w:p w14:paraId="12E651CA" w14:textId="77777777" w:rsidR="00120074" w:rsidRPr="008D44BD" w:rsidRDefault="00120074" w:rsidP="00120074">
      <w:pPr>
        <w:ind w:firstLine="360"/>
        <w:jc w:val="both"/>
        <w:rPr>
          <w:rFonts w:ascii="Book Antiqua" w:hAnsi="Book Antiqua"/>
          <w:sz w:val="16"/>
          <w:szCs w:val="16"/>
          <w:lang w:val="es-ES_tradnl"/>
        </w:rPr>
      </w:pPr>
    </w:p>
    <w:p w14:paraId="40B8F882" w14:textId="07A486F2" w:rsidR="00061884" w:rsidRDefault="006008CF" w:rsidP="00120074">
      <w:pPr>
        <w:ind w:firstLine="360"/>
        <w:jc w:val="both"/>
        <w:rPr>
          <w:rFonts w:ascii="Book Antiqua" w:hAnsi="Book Antiqua"/>
          <w:lang w:val="es-ES_tradnl"/>
        </w:rPr>
      </w:pPr>
      <w:r w:rsidRPr="00120074">
        <w:rPr>
          <w:rFonts w:ascii="Book Antiqua" w:hAnsi="Book Antiqua"/>
          <w:lang w:val="es-ES_tradnl"/>
        </w:rPr>
        <w:t xml:space="preserve">2. </w:t>
      </w:r>
      <w:r w:rsidR="009C0DB0" w:rsidRPr="00120074">
        <w:rPr>
          <w:rFonts w:ascii="Book Antiqua" w:hAnsi="Book Antiqua"/>
          <w:lang w:val="es-ES_tradnl"/>
        </w:rPr>
        <w:t>…</w:t>
      </w:r>
    </w:p>
    <w:p w14:paraId="2D055A86" w14:textId="77777777" w:rsidR="00120074" w:rsidRPr="008D44BD" w:rsidRDefault="00120074" w:rsidP="00120074">
      <w:pPr>
        <w:ind w:firstLine="360"/>
        <w:jc w:val="both"/>
        <w:rPr>
          <w:rFonts w:ascii="Book Antiqua" w:hAnsi="Book Antiqua"/>
          <w:sz w:val="16"/>
          <w:szCs w:val="16"/>
          <w:lang w:val="es-ES_tradnl"/>
        </w:rPr>
      </w:pPr>
    </w:p>
    <w:p w14:paraId="2C0C14EA" w14:textId="3B497587" w:rsidR="006008CF" w:rsidRDefault="006008CF" w:rsidP="00120074">
      <w:pPr>
        <w:ind w:firstLine="360"/>
        <w:jc w:val="both"/>
        <w:rPr>
          <w:rFonts w:ascii="Book Antiqua" w:hAnsi="Book Antiqua"/>
          <w:lang w:val="es-ES_tradnl"/>
        </w:rPr>
      </w:pPr>
      <w:r w:rsidRPr="00120074">
        <w:rPr>
          <w:rFonts w:ascii="Book Antiqua" w:hAnsi="Book Antiqua"/>
          <w:lang w:val="es-ES_tradnl"/>
        </w:rPr>
        <w:t>3. …</w:t>
      </w:r>
    </w:p>
    <w:p w14:paraId="4850CB2F" w14:textId="77777777" w:rsidR="00120074" w:rsidRPr="008D44BD" w:rsidRDefault="00120074" w:rsidP="00120074">
      <w:pPr>
        <w:ind w:firstLine="360"/>
        <w:jc w:val="both"/>
        <w:rPr>
          <w:rFonts w:ascii="Book Antiqua" w:hAnsi="Book Antiqua"/>
          <w:sz w:val="16"/>
          <w:szCs w:val="16"/>
          <w:lang w:val="es-ES_tradnl"/>
        </w:rPr>
      </w:pPr>
    </w:p>
    <w:p w14:paraId="0C2E92AA" w14:textId="59DBB8B2" w:rsidR="006008CF" w:rsidRDefault="006008CF" w:rsidP="00120074">
      <w:pPr>
        <w:ind w:firstLine="360"/>
        <w:jc w:val="both"/>
        <w:rPr>
          <w:rFonts w:ascii="Book Antiqua" w:hAnsi="Book Antiqua"/>
          <w:lang w:val="es-ES_tradnl"/>
        </w:rPr>
      </w:pPr>
      <w:r w:rsidRPr="00120074">
        <w:rPr>
          <w:rFonts w:ascii="Book Antiqua" w:hAnsi="Book Antiqua"/>
          <w:lang w:val="es-ES_tradnl"/>
        </w:rPr>
        <w:t xml:space="preserve">4. </w:t>
      </w:r>
      <w:r w:rsidR="00CE534F" w:rsidRPr="00120074">
        <w:rPr>
          <w:rFonts w:ascii="Book Antiqua" w:hAnsi="Book Antiqua"/>
          <w:lang w:val="es-ES_tradnl"/>
        </w:rPr>
        <w:t>…</w:t>
      </w:r>
    </w:p>
    <w:p w14:paraId="46CCA279" w14:textId="77777777" w:rsidR="00120074" w:rsidRPr="008D44BD" w:rsidRDefault="00120074" w:rsidP="00120074">
      <w:pPr>
        <w:ind w:firstLine="360"/>
        <w:jc w:val="both"/>
        <w:rPr>
          <w:rFonts w:ascii="Book Antiqua" w:hAnsi="Book Antiqua"/>
          <w:sz w:val="16"/>
          <w:szCs w:val="16"/>
          <w:lang w:val="es-PR"/>
        </w:rPr>
      </w:pPr>
    </w:p>
    <w:p w14:paraId="79E7AAF5" w14:textId="6C3D99EC" w:rsidR="00065C77" w:rsidRDefault="00B415C4" w:rsidP="00120074">
      <w:pPr>
        <w:ind w:firstLine="360"/>
        <w:jc w:val="both"/>
        <w:rPr>
          <w:rFonts w:ascii="Book Antiqua" w:hAnsi="Book Antiqua"/>
          <w:lang w:val="es-ES_tradnl"/>
        </w:rPr>
      </w:pPr>
      <w:r w:rsidRPr="00120074">
        <w:rPr>
          <w:rFonts w:ascii="Book Antiqua" w:hAnsi="Book Antiqua"/>
          <w:lang w:val="es-ES_tradnl"/>
        </w:rPr>
        <w:t>5. …</w:t>
      </w:r>
    </w:p>
    <w:p w14:paraId="18A2F163" w14:textId="77777777" w:rsidR="00120074" w:rsidRPr="008D44BD" w:rsidRDefault="00120074" w:rsidP="00120074">
      <w:pPr>
        <w:ind w:firstLine="360"/>
        <w:jc w:val="both"/>
        <w:rPr>
          <w:rFonts w:ascii="Book Antiqua" w:hAnsi="Book Antiqua"/>
          <w:sz w:val="16"/>
          <w:szCs w:val="16"/>
          <w:lang w:val="es-ES_tradnl"/>
        </w:rPr>
      </w:pPr>
    </w:p>
    <w:p w14:paraId="1246D9D7" w14:textId="203C2B18" w:rsidR="00B415C4" w:rsidRDefault="00B415C4" w:rsidP="00120074">
      <w:pPr>
        <w:ind w:firstLine="360"/>
        <w:jc w:val="both"/>
        <w:rPr>
          <w:rFonts w:ascii="Book Antiqua" w:hAnsi="Book Antiqua"/>
          <w:lang w:val="es-ES_tradnl"/>
        </w:rPr>
      </w:pPr>
      <w:r w:rsidRPr="00120074">
        <w:rPr>
          <w:rFonts w:ascii="Book Antiqua" w:hAnsi="Book Antiqua"/>
          <w:lang w:val="es-ES_tradnl"/>
        </w:rPr>
        <w:t>6. …</w:t>
      </w:r>
    </w:p>
    <w:p w14:paraId="69A65FD6" w14:textId="77777777" w:rsidR="00120074" w:rsidRPr="008D44BD" w:rsidRDefault="00120074" w:rsidP="00120074">
      <w:pPr>
        <w:ind w:firstLine="360"/>
        <w:jc w:val="both"/>
        <w:rPr>
          <w:rFonts w:ascii="Book Antiqua" w:hAnsi="Book Antiqua"/>
          <w:sz w:val="16"/>
          <w:szCs w:val="16"/>
          <w:lang w:val="es-ES_tradnl"/>
        </w:rPr>
      </w:pPr>
    </w:p>
    <w:p w14:paraId="3F4DF3BD" w14:textId="31A7D4BE" w:rsidR="00B415C4" w:rsidRDefault="00B415C4" w:rsidP="00120074">
      <w:pPr>
        <w:ind w:firstLine="360"/>
        <w:jc w:val="both"/>
        <w:rPr>
          <w:rFonts w:ascii="Book Antiqua" w:hAnsi="Book Antiqua"/>
          <w:lang w:val="es-ES_tradnl"/>
        </w:rPr>
      </w:pPr>
      <w:r w:rsidRPr="00120074">
        <w:rPr>
          <w:rFonts w:ascii="Book Antiqua" w:hAnsi="Book Antiqua"/>
          <w:lang w:val="es-ES_tradnl"/>
        </w:rPr>
        <w:t>7. …</w:t>
      </w:r>
    </w:p>
    <w:p w14:paraId="4ECC53C8" w14:textId="77777777" w:rsidR="00120074" w:rsidRPr="008D44BD" w:rsidRDefault="00120074" w:rsidP="00120074">
      <w:pPr>
        <w:ind w:firstLine="360"/>
        <w:jc w:val="both"/>
        <w:rPr>
          <w:rFonts w:ascii="Book Antiqua" w:hAnsi="Book Antiqua"/>
          <w:sz w:val="16"/>
          <w:szCs w:val="16"/>
          <w:lang w:val="es-ES_tradnl"/>
        </w:rPr>
      </w:pPr>
    </w:p>
    <w:p w14:paraId="0E993DEA" w14:textId="0C012EA8" w:rsidR="00B415C4" w:rsidRDefault="00B415C4" w:rsidP="00120074">
      <w:pPr>
        <w:ind w:firstLine="360"/>
        <w:jc w:val="both"/>
        <w:rPr>
          <w:rFonts w:ascii="Book Antiqua" w:hAnsi="Book Antiqua"/>
          <w:lang w:val="es-ES_tradnl"/>
        </w:rPr>
      </w:pPr>
      <w:r w:rsidRPr="00120074">
        <w:rPr>
          <w:rFonts w:ascii="Book Antiqua" w:hAnsi="Book Antiqua"/>
          <w:lang w:val="es-ES_tradnl"/>
        </w:rPr>
        <w:t>8. …”</w:t>
      </w:r>
    </w:p>
    <w:p w14:paraId="7B713914" w14:textId="77777777" w:rsidR="00120074" w:rsidRPr="008D44BD" w:rsidRDefault="00120074" w:rsidP="00120074">
      <w:pPr>
        <w:ind w:firstLine="360"/>
        <w:jc w:val="both"/>
        <w:rPr>
          <w:rFonts w:ascii="Book Antiqua" w:hAnsi="Book Antiqua"/>
          <w:sz w:val="16"/>
          <w:szCs w:val="16"/>
          <w:lang w:val="es-ES_tradnl"/>
        </w:rPr>
      </w:pPr>
    </w:p>
    <w:p w14:paraId="1718FA0C" w14:textId="50405F90" w:rsidR="00B415C4" w:rsidRDefault="00A402DA" w:rsidP="00120074">
      <w:pPr>
        <w:ind w:firstLine="360"/>
        <w:jc w:val="both"/>
        <w:rPr>
          <w:rFonts w:ascii="Book Antiqua" w:hAnsi="Book Antiqua"/>
          <w:lang w:val="es-ES_tradnl"/>
        </w:rPr>
      </w:pPr>
      <w:r w:rsidRPr="00120074">
        <w:rPr>
          <w:rFonts w:ascii="Book Antiqua" w:hAnsi="Book Antiqua"/>
          <w:lang w:val="es-ES_tradnl"/>
        </w:rPr>
        <w:t xml:space="preserve">Sección </w:t>
      </w:r>
      <w:r w:rsidR="00B415C4" w:rsidRPr="00120074">
        <w:rPr>
          <w:rFonts w:ascii="Book Antiqua" w:hAnsi="Book Antiqua"/>
          <w:lang w:val="es-ES_tradnl"/>
        </w:rPr>
        <w:t xml:space="preserve">3.- </w:t>
      </w:r>
      <w:r w:rsidR="006A4892" w:rsidRPr="00120074">
        <w:rPr>
          <w:rFonts w:ascii="Book Antiqua" w:hAnsi="Book Antiqua"/>
          <w:lang w:val="es-ES_tradnl"/>
        </w:rPr>
        <w:t xml:space="preserve">Enmendar </w:t>
      </w:r>
      <w:r w:rsidR="00B415C4" w:rsidRPr="00120074">
        <w:rPr>
          <w:rFonts w:ascii="Book Antiqua" w:hAnsi="Book Antiqua"/>
          <w:lang w:val="es-ES_tradnl"/>
        </w:rPr>
        <w:t>el Artículo 4.05 de la Ley 154-2018, según enmendada, para que lea como sigue:</w:t>
      </w:r>
    </w:p>
    <w:p w14:paraId="596CF538" w14:textId="77777777" w:rsidR="00120074" w:rsidRPr="008D44BD" w:rsidRDefault="00120074" w:rsidP="00120074">
      <w:pPr>
        <w:ind w:firstLine="360"/>
        <w:jc w:val="both"/>
        <w:rPr>
          <w:rFonts w:ascii="Book Antiqua" w:hAnsi="Book Antiqua"/>
          <w:sz w:val="16"/>
          <w:szCs w:val="16"/>
          <w:lang w:val="es-ES_tradnl"/>
        </w:rPr>
      </w:pPr>
    </w:p>
    <w:p w14:paraId="4C674D14" w14:textId="58868016" w:rsidR="006A4892" w:rsidRDefault="006A4892" w:rsidP="00120074">
      <w:pPr>
        <w:ind w:firstLine="360"/>
        <w:jc w:val="both"/>
        <w:rPr>
          <w:rFonts w:ascii="Book Antiqua" w:hAnsi="Book Antiqua"/>
          <w:lang w:val="es-ES_tradnl"/>
        </w:rPr>
      </w:pPr>
      <w:r w:rsidRPr="00120074">
        <w:rPr>
          <w:rFonts w:ascii="Book Antiqua" w:hAnsi="Book Antiqua"/>
          <w:lang w:val="es-ES_tradnl"/>
        </w:rPr>
        <w:t>“Artículo 4.05.- Derechos del Delator.</w:t>
      </w:r>
    </w:p>
    <w:p w14:paraId="0DAE85C1" w14:textId="77777777" w:rsidR="00120074" w:rsidRPr="008D44BD" w:rsidRDefault="00120074" w:rsidP="00120074">
      <w:pPr>
        <w:ind w:firstLine="360"/>
        <w:jc w:val="both"/>
        <w:rPr>
          <w:rFonts w:ascii="Book Antiqua" w:hAnsi="Book Antiqua"/>
          <w:sz w:val="16"/>
          <w:szCs w:val="16"/>
          <w:lang w:val="es-ES_tradnl"/>
        </w:rPr>
      </w:pPr>
    </w:p>
    <w:p w14:paraId="1624E651" w14:textId="4D11EF39" w:rsidR="00120074" w:rsidRDefault="00B415C4" w:rsidP="00120074">
      <w:pPr>
        <w:jc w:val="both"/>
        <w:rPr>
          <w:rFonts w:ascii="Book Antiqua" w:hAnsi="Book Antiqua"/>
          <w:lang w:val="es-ES_tradnl"/>
        </w:rPr>
      </w:pPr>
      <w:r w:rsidRPr="00120074">
        <w:rPr>
          <w:rFonts w:ascii="Book Antiqua" w:hAnsi="Book Antiqua"/>
          <w:lang w:val="es-ES_tradnl"/>
        </w:rPr>
        <w:lastRenderedPageBreak/>
        <w:tab/>
        <w:t>Cualquier persona, empleado, contratista o agente que no tenga prohibición expresa conforme el inciso</w:t>
      </w:r>
      <w:r w:rsidR="006A4892" w:rsidRPr="00120074">
        <w:rPr>
          <w:rFonts w:ascii="Book Antiqua" w:hAnsi="Book Antiqua"/>
          <w:lang w:val="es-ES_tradnl"/>
        </w:rPr>
        <w:t xml:space="preserve"> (f) del Artículo 1.02 de esta Ley</w:t>
      </w:r>
      <w:r w:rsidRPr="00120074">
        <w:rPr>
          <w:rFonts w:ascii="Book Antiqua" w:hAnsi="Book Antiqua"/>
          <w:lang w:val="es-ES_tradnl"/>
        </w:rPr>
        <w:t xml:space="preserve"> tiene derecho a presentar una denuncia en carácter de delator si conoce sobre la existencia de una violación a este</w:t>
      </w:r>
      <w:r w:rsidR="003D366F" w:rsidRPr="00120074">
        <w:rPr>
          <w:rFonts w:ascii="Book Antiqua" w:hAnsi="Book Antiqua"/>
          <w:lang w:val="es-ES_tradnl"/>
        </w:rPr>
        <w:t xml:space="preserve"> Capítulo de esta Ley</w:t>
      </w:r>
      <w:r w:rsidRPr="00120074">
        <w:rPr>
          <w:rFonts w:ascii="Book Antiqua" w:hAnsi="Book Antiqua"/>
          <w:lang w:val="es-ES_tradnl"/>
        </w:rPr>
        <w:t>. Dicha persona tendrá derecho a que su nombre</w:t>
      </w:r>
      <w:r w:rsidR="00B83398" w:rsidRPr="00120074">
        <w:rPr>
          <w:rFonts w:ascii="Book Antiqua" w:hAnsi="Book Antiqua"/>
          <w:lang w:val="es-ES_tradnl"/>
        </w:rPr>
        <w:t>, apellidos</w:t>
      </w:r>
      <w:r w:rsidRPr="00120074">
        <w:rPr>
          <w:rFonts w:ascii="Book Antiqua" w:hAnsi="Book Antiqua"/>
          <w:lang w:val="es-ES_tradnl"/>
        </w:rPr>
        <w:t xml:space="preserve"> e información personal</w:t>
      </w:r>
      <w:r w:rsidR="006176C1" w:rsidRPr="00120074">
        <w:rPr>
          <w:rFonts w:ascii="Book Antiqua" w:hAnsi="Book Antiqua"/>
          <w:lang w:val="es-ES_tradnl"/>
        </w:rPr>
        <w:t>, tales</w:t>
      </w:r>
      <w:r w:rsidRPr="00120074">
        <w:rPr>
          <w:rFonts w:ascii="Book Antiqua" w:hAnsi="Book Antiqua"/>
          <w:lang w:val="es-ES_tradnl"/>
        </w:rPr>
        <w:t xml:space="preserve"> como su edad; </w:t>
      </w:r>
      <w:r w:rsidR="006176C1" w:rsidRPr="00120074">
        <w:rPr>
          <w:rFonts w:ascii="Book Antiqua" w:hAnsi="Book Antiqua"/>
          <w:lang w:val="es-ES_tradnl"/>
        </w:rPr>
        <w:t>sexo</w:t>
      </w:r>
      <w:r w:rsidRPr="00120074">
        <w:rPr>
          <w:rFonts w:ascii="Book Antiqua" w:hAnsi="Book Antiqua"/>
          <w:lang w:val="es-ES_tradnl"/>
        </w:rPr>
        <w:t xml:space="preserve">; número de teléfono; dirección física y postal; </w:t>
      </w:r>
      <w:r w:rsidR="00460495" w:rsidRPr="00120074">
        <w:rPr>
          <w:rFonts w:ascii="Book Antiqua" w:hAnsi="Book Antiqua"/>
          <w:lang w:val="es-ES_tradnl"/>
        </w:rPr>
        <w:t xml:space="preserve">lugar de </w:t>
      </w:r>
      <w:r w:rsidRPr="00120074">
        <w:rPr>
          <w:rFonts w:ascii="Book Antiqua" w:hAnsi="Book Antiqua"/>
          <w:lang w:val="es-ES_tradnl"/>
        </w:rPr>
        <w:t>empleo; correo electrónico; entre otras</w:t>
      </w:r>
      <w:r w:rsidR="001749C7" w:rsidRPr="00120074">
        <w:rPr>
          <w:rFonts w:ascii="Book Antiqua" w:hAnsi="Book Antiqua"/>
          <w:lang w:val="es-ES_tradnl"/>
        </w:rPr>
        <w:t>,</w:t>
      </w:r>
      <w:r w:rsidR="002B3643">
        <w:rPr>
          <w:rFonts w:ascii="Book Antiqua" w:hAnsi="Book Antiqua"/>
          <w:lang w:val="es-ES_tradnl"/>
        </w:rPr>
        <w:t xml:space="preserve"> </w:t>
      </w:r>
      <w:r w:rsidRPr="00120074">
        <w:rPr>
          <w:rFonts w:ascii="Book Antiqua" w:hAnsi="Book Antiqua"/>
          <w:lang w:val="es-ES_tradnl"/>
        </w:rPr>
        <w:t xml:space="preserve">permanezca confidencial en todo documento oficial y durante todo </w:t>
      </w:r>
      <w:r w:rsidR="007F6CF6" w:rsidRPr="00120074">
        <w:rPr>
          <w:rFonts w:ascii="Book Antiqua" w:hAnsi="Book Antiqua"/>
          <w:lang w:val="es-ES_tradnl"/>
        </w:rPr>
        <w:t xml:space="preserve">el </w:t>
      </w:r>
      <w:r w:rsidRPr="00120074">
        <w:rPr>
          <w:rFonts w:ascii="Book Antiqua" w:hAnsi="Book Antiqua"/>
          <w:lang w:val="es-ES_tradnl"/>
        </w:rPr>
        <w:t xml:space="preserve">proceso judicial. De esta persona, empleado, contratista o agente </w:t>
      </w:r>
      <w:r w:rsidR="00A36052" w:rsidRPr="00120074">
        <w:rPr>
          <w:rFonts w:ascii="Book Antiqua" w:hAnsi="Book Antiqua"/>
          <w:lang w:val="es-ES_tradnl"/>
        </w:rPr>
        <w:t xml:space="preserve">ser </w:t>
      </w:r>
      <w:r w:rsidRPr="00120074">
        <w:rPr>
          <w:rFonts w:ascii="Book Antiqua" w:hAnsi="Book Antiqua"/>
          <w:lang w:val="es-ES_tradnl"/>
        </w:rPr>
        <w:t>despedido, marginado, suspendido, amenazado o de cualquier otra manera discriminado en los términos y condiciones de su empleo por presentar una denuncia</w:t>
      </w:r>
      <w:r w:rsidR="00026BD4" w:rsidRPr="00120074">
        <w:rPr>
          <w:rFonts w:ascii="Book Antiqua" w:hAnsi="Book Antiqua"/>
          <w:lang w:val="es-ES_tradnl"/>
        </w:rPr>
        <w:t>,</w:t>
      </w:r>
      <w:r w:rsidR="00A36052" w:rsidRPr="00120074">
        <w:rPr>
          <w:rFonts w:ascii="Book Antiqua" w:hAnsi="Book Antiqua"/>
          <w:lang w:val="es-ES_tradnl"/>
        </w:rPr>
        <w:t xml:space="preserve"> </w:t>
      </w:r>
      <w:r w:rsidRPr="00120074">
        <w:rPr>
          <w:rFonts w:ascii="Book Antiqua" w:hAnsi="Book Antiqua"/>
          <w:lang w:val="es-ES_tradnl"/>
        </w:rPr>
        <w:t>gozará de las protecciones contenidas en el Título IV de la Ley 2-2018,</w:t>
      </w:r>
      <w:r w:rsidR="00F77AEA" w:rsidRPr="00120074">
        <w:rPr>
          <w:rFonts w:ascii="Book Antiqua" w:hAnsi="Book Antiqua"/>
          <w:lang w:val="es-ES_tradnl"/>
        </w:rPr>
        <w:t xml:space="preserve"> según enmendada,</w:t>
      </w:r>
      <w:r w:rsidRPr="00120074">
        <w:rPr>
          <w:rFonts w:ascii="Book Antiqua" w:hAnsi="Book Antiqua"/>
          <w:lang w:val="es-ES_tradnl"/>
        </w:rPr>
        <w:t xml:space="preserve"> y en las Leyes Federales aplicables</w:t>
      </w:r>
      <w:r w:rsidRPr="002B3643">
        <w:rPr>
          <w:rFonts w:ascii="Book Antiqua" w:hAnsi="Book Antiqua"/>
          <w:lang w:val="es-ES_tradnl"/>
        </w:rPr>
        <w:t>.</w:t>
      </w:r>
    </w:p>
    <w:p w14:paraId="0C10F088" w14:textId="77777777" w:rsidR="002B3643" w:rsidRPr="008D44BD" w:rsidRDefault="002B3643" w:rsidP="00120074">
      <w:pPr>
        <w:jc w:val="both"/>
        <w:rPr>
          <w:rFonts w:ascii="Book Antiqua" w:hAnsi="Book Antiqua"/>
          <w:strike/>
          <w:sz w:val="16"/>
          <w:szCs w:val="16"/>
          <w:lang w:val="es-ES_tradnl"/>
        </w:rPr>
      </w:pPr>
    </w:p>
    <w:p w14:paraId="03A2DFAB" w14:textId="77EEC0A7" w:rsidR="00EC1426" w:rsidRDefault="00B04D86" w:rsidP="00120074">
      <w:pPr>
        <w:ind w:firstLine="720"/>
        <w:jc w:val="both"/>
        <w:rPr>
          <w:rFonts w:ascii="Book Antiqua" w:hAnsi="Book Antiqua"/>
          <w:lang w:val="es-ES_tradnl"/>
        </w:rPr>
      </w:pPr>
      <w:r w:rsidRPr="00120074">
        <w:rPr>
          <w:rFonts w:ascii="Book Antiqua" w:hAnsi="Book Antiqua"/>
          <w:lang w:val="es-ES_tradnl"/>
        </w:rPr>
        <w:t>El empleado, contratista o agente agraviado en este caso tendrá derecho a</w:t>
      </w:r>
      <w:r w:rsidR="00482E05" w:rsidRPr="00120074">
        <w:rPr>
          <w:rFonts w:ascii="Book Antiqua" w:hAnsi="Book Antiqua"/>
          <w:lang w:val="es-ES_tradnl"/>
        </w:rPr>
        <w:t xml:space="preserve"> la</w:t>
      </w:r>
      <w:r w:rsidRPr="00120074">
        <w:rPr>
          <w:rFonts w:ascii="Book Antiqua" w:hAnsi="Book Antiqua"/>
          <w:lang w:val="es-ES_tradnl"/>
        </w:rPr>
        <w:t xml:space="preserve"> reinstalación al mismo nivel de puesto, a una suma equivalente de tres (3) veces la cantidad del salario o compensación en pago retroactivo, intereses en este pago retroactivo y cualquier otra compensación por angustias mentales y daños sufridos por consecuencia del discrimen sufrido, incluyendo gastos de litigación y honorarios de abogado. El empleado podrá presentar la causa de acción bajo</w:t>
      </w:r>
      <w:r w:rsidR="00652A06" w:rsidRPr="00120074">
        <w:rPr>
          <w:rFonts w:ascii="Book Antiqua" w:hAnsi="Book Antiqua"/>
          <w:lang w:val="es-ES_tradnl"/>
        </w:rPr>
        <w:t xml:space="preserve"> este</w:t>
      </w:r>
      <w:r w:rsidRPr="00120074">
        <w:rPr>
          <w:rFonts w:ascii="Book Antiqua" w:hAnsi="Book Antiqua"/>
          <w:lang w:val="es-ES_tradnl"/>
        </w:rPr>
        <w:t xml:space="preserve"> Artículo en el foro local o federal pertinente.”  </w:t>
      </w:r>
    </w:p>
    <w:p w14:paraId="79C79010" w14:textId="77777777" w:rsidR="002B3643" w:rsidRPr="008D44BD" w:rsidRDefault="002B3643" w:rsidP="00120074">
      <w:pPr>
        <w:ind w:firstLine="720"/>
        <w:jc w:val="both"/>
        <w:rPr>
          <w:rFonts w:ascii="Book Antiqua" w:hAnsi="Book Antiqua"/>
          <w:sz w:val="16"/>
          <w:szCs w:val="16"/>
          <w:lang w:val="es-ES_tradnl"/>
        </w:rPr>
      </w:pPr>
    </w:p>
    <w:p w14:paraId="2995DB5D" w14:textId="3EE627A4" w:rsidR="00027FA2" w:rsidRDefault="00A402DA" w:rsidP="00120074">
      <w:pPr>
        <w:ind w:firstLine="360"/>
        <w:jc w:val="both"/>
        <w:rPr>
          <w:rFonts w:ascii="Book Antiqua" w:hAnsi="Book Antiqua"/>
          <w:lang w:val="es-ES"/>
        </w:rPr>
      </w:pPr>
      <w:r w:rsidRPr="00120074">
        <w:rPr>
          <w:rFonts w:ascii="Book Antiqua" w:hAnsi="Book Antiqua"/>
          <w:lang w:val="es-ES_tradnl"/>
        </w:rPr>
        <w:t xml:space="preserve">Sección </w:t>
      </w:r>
      <w:r w:rsidR="00CE534F" w:rsidRPr="00120074">
        <w:rPr>
          <w:rFonts w:ascii="Book Antiqua" w:hAnsi="Book Antiqua"/>
          <w:lang w:val="es-ES"/>
        </w:rPr>
        <w:t>4</w:t>
      </w:r>
      <w:r w:rsidR="00027FA2" w:rsidRPr="00120074">
        <w:rPr>
          <w:rFonts w:ascii="Book Antiqua" w:hAnsi="Book Antiqua"/>
          <w:lang w:val="es-ES"/>
        </w:rPr>
        <w:t>.-Vigencia.</w:t>
      </w:r>
    </w:p>
    <w:p w14:paraId="03A87BAF" w14:textId="77777777" w:rsidR="00120074" w:rsidRPr="008D44BD" w:rsidRDefault="00120074" w:rsidP="00120074">
      <w:pPr>
        <w:ind w:firstLine="360"/>
        <w:jc w:val="both"/>
        <w:rPr>
          <w:rFonts w:ascii="Book Antiqua" w:hAnsi="Book Antiqua"/>
          <w:sz w:val="16"/>
          <w:szCs w:val="16"/>
          <w:lang w:val="es-ES"/>
        </w:rPr>
      </w:pPr>
    </w:p>
    <w:p w14:paraId="6453F09C" w14:textId="12789257" w:rsidR="00345F62" w:rsidRDefault="00027FA2" w:rsidP="00480664">
      <w:pPr>
        <w:ind w:firstLine="720"/>
        <w:jc w:val="both"/>
        <w:rPr>
          <w:rFonts w:ascii="Book Antiqua" w:hAnsi="Book Antiqua"/>
          <w:lang w:val="es-ES"/>
        </w:rPr>
      </w:pPr>
      <w:r w:rsidRPr="00120074">
        <w:rPr>
          <w:rFonts w:ascii="Book Antiqua" w:hAnsi="Book Antiqua"/>
          <w:lang w:val="es-ES"/>
        </w:rPr>
        <w:t>Esta Ley comenzará a regir inmediatamente después de su aprobación.</w:t>
      </w:r>
    </w:p>
    <w:sectPr w:rsidR="00345F62" w:rsidSect="00120074">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F3D1" w14:textId="77777777" w:rsidR="008B2246" w:rsidRDefault="008B2246">
      <w:r>
        <w:separator/>
      </w:r>
    </w:p>
  </w:endnote>
  <w:endnote w:type="continuationSeparator" w:id="0">
    <w:p w14:paraId="1752E56D" w14:textId="77777777" w:rsidR="008B2246" w:rsidRDefault="008B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29E9" w14:textId="77777777" w:rsidR="008B2246" w:rsidRDefault="008B2246">
      <w:r>
        <w:separator/>
      </w:r>
    </w:p>
  </w:footnote>
  <w:footnote w:type="continuationSeparator" w:id="0">
    <w:p w14:paraId="5B49AD8B" w14:textId="77777777" w:rsidR="008B2246" w:rsidRDefault="008B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F0FC" w14:textId="5AF8F07D"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1C3370">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2C4D"/>
    <w:multiLevelType w:val="hybridMultilevel"/>
    <w:tmpl w:val="B536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70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PR" w:vendorID="64" w:dllVersion="0" w:nlCheck="1" w:checkStyle="0"/>
  <w:activeWritingStyle w:appName="MSWord" w:lang="es-PR" w:vendorID="64" w:dllVersion="6" w:nlCheck="1" w:checkStyle="1"/>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1884"/>
    <w:rsid w:val="000012B8"/>
    <w:rsid w:val="00014DFC"/>
    <w:rsid w:val="00015B5B"/>
    <w:rsid w:val="00020BBB"/>
    <w:rsid w:val="000252B4"/>
    <w:rsid w:val="00026BD4"/>
    <w:rsid w:val="00027FA2"/>
    <w:rsid w:val="000313DD"/>
    <w:rsid w:val="0003283B"/>
    <w:rsid w:val="00043569"/>
    <w:rsid w:val="00043861"/>
    <w:rsid w:val="00046510"/>
    <w:rsid w:val="00056024"/>
    <w:rsid w:val="00061884"/>
    <w:rsid w:val="00062D9E"/>
    <w:rsid w:val="00065C77"/>
    <w:rsid w:val="00076CE0"/>
    <w:rsid w:val="00090D9F"/>
    <w:rsid w:val="00095AE1"/>
    <w:rsid w:val="000A6B6C"/>
    <w:rsid w:val="000B0DBB"/>
    <w:rsid w:val="000C0A8C"/>
    <w:rsid w:val="000C7AA2"/>
    <w:rsid w:val="000D782E"/>
    <w:rsid w:val="000E41B8"/>
    <w:rsid w:val="00107045"/>
    <w:rsid w:val="00111E71"/>
    <w:rsid w:val="00120074"/>
    <w:rsid w:val="00127C6A"/>
    <w:rsid w:val="00132633"/>
    <w:rsid w:val="001363FE"/>
    <w:rsid w:val="00146ABA"/>
    <w:rsid w:val="00153728"/>
    <w:rsid w:val="0017132B"/>
    <w:rsid w:val="001723CF"/>
    <w:rsid w:val="001749C7"/>
    <w:rsid w:val="00176D05"/>
    <w:rsid w:val="00182FE7"/>
    <w:rsid w:val="001C3370"/>
    <w:rsid w:val="001C5815"/>
    <w:rsid w:val="001E346C"/>
    <w:rsid w:val="001F4CA3"/>
    <w:rsid w:val="001F612A"/>
    <w:rsid w:val="00211396"/>
    <w:rsid w:val="00213709"/>
    <w:rsid w:val="002141E4"/>
    <w:rsid w:val="00217C96"/>
    <w:rsid w:val="002247FF"/>
    <w:rsid w:val="00226AE6"/>
    <w:rsid w:val="00232147"/>
    <w:rsid w:val="00233C37"/>
    <w:rsid w:val="00240561"/>
    <w:rsid w:val="00245B34"/>
    <w:rsid w:val="00263355"/>
    <w:rsid w:val="00272ED9"/>
    <w:rsid w:val="00273792"/>
    <w:rsid w:val="002934AF"/>
    <w:rsid w:val="002B3643"/>
    <w:rsid w:val="002C5369"/>
    <w:rsid w:val="002D22E7"/>
    <w:rsid w:val="002D4AC8"/>
    <w:rsid w:val="002D4D8B"/>
    <w:rsid w:val="002D6589"/>
    <w:rsid w:val="002E1142"/>
    <w:rsid w:val="002E7E62"/>
    <w:rsid w:val="002F41A1"/>
    <w:rsid w:val="0030316E"/>
    <w:rsid w:val="00320D78"/>
    <w:rsid w:val="003212DF"/>
    <w:rsid w:val="00345F62"/>
    <w:rsid w:val="00380FE5"/>
    <w:rsid w:val="003924DD"/>
    <w:rsid w:val="00394D52"/>
    <w:rsid w:val="00394FCB"/>
    <w:rsid w:val="003963F4"/>
    <w:rsid w:val="003B5254"/>
    <w:rsid w:val="003B75A6"/>
    <w:rsid w:val="003C040B"/>
    <w:rsid w:val="003C1746"/>
    <w:rsid w:val="003D366F"/>
    <w:rsid w:val="003D549F"/>
    <w:rsid w:val="003D7F60"/>
    <w:rsid w:val="003E7840"/>
    <w:rsid w:val="003F435B"/>
    <w:rsid w:val="00401206"/>
    <w:rsid w:val="00402978"/>
    <w:rsid w:val="004061CA"/>
    <w:rsid w:val="004068A8"/>
    <w:rsid w:val="004145CF"/>
    <w:rsid w:val="00415689"/>
    <w:rsid w:val="00431941"/>
    <w:rsid w:val="004440CB"/>
    <w:rsid w:val="00455F59"/>
    <w:rsid w:val="00460495"/>
    <w:rsid w:val="00461521"/>
    <w:rsid w:val="004713D2"/>
    <w:rsid w:val="00480664"/>
    <w:rsid w:val="00482E05"/>
    <w:rsid w:val="004976BE"/>
    <w:rsid w:val="004D2F4F"/>
    <w:rsid w:val="004F7C46"/>
    <w:rsid w:val="005115EA"/>
    <w:rsid w:val="005119FD"/>
    <w:rsid w:val="00521639"/>
    <w:rsid w:val="00521934"/>
    <w:rsid w:val="00525878"/>
    <w:rsid w:val="00532BB7"/>
    <w:rsid w:val="005332E4"/>
    <w:rsid w:val="0053550C"/>
    <w:rsid w:val="005364E6"/>
    <w:rsid w:val="00555018"/>
    <w:rsid w:val="005625C5"/>
    <w:rsid w:val="005723DC"/>
    <w:rsid w:val="005962EA"/>
    <w:rsid w:val="005A270C"/>
    <w:rsid w:val="005C4570"/>
    <w:rsid w:val="005C621F"/>
    <w:rsid w:val="005F772F"/>
    <w:rsid w:val="006008CF"/>
    <w:rsid w:val="006012ED"/>
    <w:rsid w:val="00612A57"/>
    <w:rsid w:val="00617481"/>
    <w:rsid w:val="0061754A"/>
    <w:rsid w:val="006176C1"/>
    <w:rsid w:val="006210DC"/>
    <w:rsid w:val="00630F7B"/>
    <w:rsid w:val="006371BE"/>
    <w:rsid w:val="0064349D"/>
    <w:rsid w:val="00652A06"/>
    <w:rsid w:val="00653EED"/>
    <w:rsid w:val="00682AC6"/>
    <w:rsid w:val="00683D68"/>
    <w:rsid w:val="00685549"/>
    <w:rsid w:val="006927F4"/>
    <w:rsid w:val="006978F6"/>
    <w:rsid w:val="006A4484"/>
    <w:rsid w:val="006A4892"/>
    <w:rsid w:val="006A6303"/>
    <w:rsid w:val="006B7365"/>
    <w:rsid w:val="006C2D81"/>
    <w:rsid w:val="006C681C"/>
    <w:rsid w:val="006C692C"/>
    <w:rsid w:val="006C6FBC"/>
    <w:rsid w:val="006C7DF8"/>
    <w:rsid w:val="006D4135"/>
    <w:rsid w:val="0070632E"/>
    <w:rsid w:val="0071419B"/>
    <w:rsid w:val="00740744"/>
    <w:rsid w:val="00747923"/>
    <w:rsid w:val="00750FC8"/>
    <w:rsid w:val="007533D0"/>
    <w:rsid w:val="00755069"/>
    <w:rsid w:val="00772187"/>
    <w:rsid w:val="007A0A72"/>
    <w:rsid w:val="007A0EE8"/>
    <w:rsid w:val="007A625B"/>
    <w:rsid w:val="007B0660"/>
    <w:rsid w:val="007B7B6C"/>
    <w:rsid w:val="007D6E51"/>
    <w:rsid w:val="007E3868"/>
    <w:rsid w:val="007F6CF6"/>
    <w:rsid w:val="00814CF6"/>
    <w:rsid w:val="00814F31"/>
    <w:rsid w:val="0081607E"/>
    <w:rsid w:val="00820C41"/>
    <w:rsid w:val="00830A8B"/>
    <w:rsid w:val="00850256"/>
    <w:rsid w:val="00867BE8"/>
    <w:rsid w:val="00872836"/>
    <w:rsid w:val="00877F0B"/>
    <w:rsid w:val="00882A3F"/>
    <w:rsid w:val="00893602"/>
    <w:rsid w:val="008B2246"/>
    <w:rsid w:val="008C490F"/>
    <w:rsid w:val="008D44BD"/>
    <w:rsid w:val="008F32D9"/>
    <w:rsid w:val="008F6DCB"/>
    <w:rsid w:val="009047C6"/>
    <w:rsid w:val="00904A00"/>
    <w:rsid w:val="00911EB1"/>
    <w:rsid w:val="0093686F"/>
    <w:rsid w:val="00937FD9"/>
    <w:rsid w:val="00942FD4"/>
    <w:rsid w:val="00947EFE"/>
    <w:rsid w:val="00951997"/>
    <w:rsid w:val="009673F4"/>
    <w:rsid w:val="0098567E"/>
    <w:rsid w:val="0098729E"/>
    <w:rsid w:val="00990352"/>
    <w:rsid w:val="0099200B"/>
    <w:rsid w:val="009A6B8B"/>
    <w:rsid w:val="009B2E86"/>
    <w:rsid w:val="009C0DB0"/>
    <w:rsid w:val="009D7ECE"/>
    <w:rsid w:val="00A03405"/>
    <w:rsid w:val="00A0367F"/>
    <w:rsid w:val="00A1528A"/>
    <w:rsid w:val="00A323C0"/>
    <w:rsid w:val="00A33918"/>
    <w:rsid w:val="00A36052"/>
    <w:rsid w:val="00A402DA"/>
    <w:rsid w:val="00A42E25"/>
    <w:rsid w:val="00A50DB5"/>
    <w:rsid w:val="00A7629F"/>
    <w:rsid w:val="00A76A51"/>
    <w:rsid w:val="00A87444"/>
    <w:rsid w:val="00A9463D"/>
    <w:rsid w:val="00AA6D34"/>
    <w:rsid w:val="00AB0710"/>
    <w:rsid w:val="00AB62F9"/>
    <w:rsid w:val="00AB6C2B"/>
    <w:rsid w:val="00AC0F23"/>
    <w:rsid w:val="00AC15A1"/>
    <w:rsid w:val="00AE5985"/>
    <w:rsid w:val="00AF0CEE"/>
    <w:rsid w:val="00B04D86"/>
    <w:rsid w:val="00B13ECB"/>
    <w:rsid w:val="00B1558D"/>
    <w:rsid w:val="00B22804"/>
    <w:rsid w:val="00B240F5"/>
    <w:rsid w:val="00B267CE"/>
    <w:rsid w:val="00B3539C"/>
    <w:rsid w:val="00B415C4"/>
    <w:rsid w:val="00B501BB"/>
    <w:rsid w:val="00B51857"/>
    <w:rsid w:val="00B662BD"/>
    <w:rsid w:val="00B667AD"/>
    <w:rsid w:val="00B83398"/>
    <w:rsid w:val="00B84C38"/>
    <w:rsid w:val="00B856AD"/>
    <w:rsid w:val="00B86C00"/>
    <w:rsid w:val="00B947F6"/>
    <w:rsid w:val="00B97D6B"/>
    <w:rsid w:val="00BF0A5B"/>
    <w:rsid w:val="00BF16AA"/>
    <w:rsid w:val="00C33B15"/>
    <w:rsid w:val="00C354B8"/>
    <w:rsid w:val="00C52517"/>
    <w:rsid w:val="00C60921"/>
    <w:rsid w:val="00C62936"/>
    <w:rsid w:val="00C62FAC"/>
    <w:rsid w:val="00C653F2"/>
    <w:rsid w:val="00C655FB"/>
    <w:rsid w:val="00C679E6"/>
    <w:rsid w:val="00C7174D"/>
    <w:rsid w:val="00C908F9"/>
    <w:rsid w:val="00C9515A"/>
    <w:rsid w:val="00C956DF"/>
    <w:rsid w:val="00CA0917"/>
    <w:rsid w:val="00CA1099"/>
    <w:rsid w:val="00CB0934"/>
    <w:rsid w:val="00CC4671"/>
    <w:rsid w:val="00CD53AF"/>
    <w:rsid w:val="00CE534F"/>
    <w:rsid w:val="00CE602B"/>
    <w:rsid w:val="00CE728F"/>
    <w:rsid w:val="00D26D3B"/>
    <w:rsid w:val="00D417C2"/>
    <w:rsid w:val="00D53EBB"/>
    <w:rsid w:val="00D56948"/>
    <w:rsid w:val="00D60936"/>
    <w:rsid w:val="00D616EC"/>
    <w:rsid w:val="00D709EB"/>
    <w:rsid w:val="00D74714"/>
    <w:rsid w:val="00D80E61"/>
    <w:rsid w:val="00D82F3F"/>
    <w:rsid w:val="00D921C6"/>
    <w:rsid w:val="00D958C2"/>
    <w:rsid w:val="00D9590D"/>
    <w:rsid w:val="00DA40C8"/>
    <w:rsid w:val="00DB6F46"/>
    <w:rsid w:val="00DD22C7"/>
    <w:rsid w:val="00DF7481"/>
    <w:rsid w:val="00E001A6"/>
    <w:rsid w:val="00E04AB5"/>
    <w:rsid w:val="00E12DCA"/>
    <w:rsid w:val="00E154C8"/>
    <w:rsid w:val="00E21440"/>
    <w:rsid w:val="00E37F50"/>
    <w:rsid w:val="00E50EEA"/>
    <w:rsid w:val="00E5230A"/>
    <w:rsid w:val="00E52F58"/>
    <w:rsid w:val="00E67D24"/>
    <w:rsid w:val="00E74CDD"/>
    <w:rsid w:val="00EC1426"/>
    <w:rsid w:val="00EC26AA"/>
    <w:rsid w:val="00ED7A53"/>
    <w:rsid w:val="00EE12AC"/>
    <w:rsid w:val="00EE4273"/>
    <w:rsid w:val="00F02004"/>
    <w:rsid w:val="00F042CB"/>
    <w:rsid w:val="00F1236F"/>
    <w:rsid w:val="00F3155F"/>
    <w:rsid w:val="00F46A98"/>
    <w:rsid w:val="00F52E4E"/>
    <w:rsid w:val="00F60A20"/>
    <w:rsid w:val="00F64AAA"/>
    <w:rsid w:val="00F77AEA"/>
    <w:rsid w:val="00F94790"/>
    <w:rsid w:val="00FA2487"/>
    <w:rsid w:val="00FC0A95"/>
    <w:rsid w:val="00FC0C59"/>
    <w:rsid w:val="00FC3D9C"/>
    <w:rsid w:val="00FC6916"/>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8A506"/>
  <w15:chartTrackingRefBased/>
  <w15:docId w15:val="{D974B04E-C613-4829-94C9-1C7DE360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FootnoteText">
    <w:name w:val="footnote text"/>
    <w:basedOn w:val="Normal"/>
    <w:link w:val="FootnoteTextChar"/>
    <w:unhideWhenUsed/>
    <w:rsid w:val="00D80E61"/>
    <w:rPr>
      <w:sz w:val="20"/>
    </w:rPr>
  </w:style>
  <w:style w:type="character" w:customStyle="1" w:styleId="FootnoteTextChar">
    <w:name w:val="Footnote Text Char"/>
    <w:basedOn w:val="DefaultParagraphFont"/>
    <w:link w:val="FootnoteText"/>
    <w:rsid w:val="00D80E61"/>
  </w:style>
  <w:style w:type="character" w:styleId="FootnoteReference">
    <w:name w:val="footnote reference"/>
    <w:basedOn w:val="DefaultParagraphFont"/>
    <w:uiPriority w:val="99"/>
    <w:semiHidden/>
    <w:unhideWhenUsed/>
    <w:rsid w:val="00D80E61"/>
    <w:rPr>
      <w:vertAlign w:val="superscript"/>
    </w:rPr>
  </w:style>
  <w:style w:type="character" w:styleId="Hyperlink">
    <w:name w:val="Hyperlink"/>
    <w:rsid w:val="00D80E61"/>
    <w:rPr>
      <w:color w:val="0563C1"/>
      <w:u w:val="single"/>
    </w:rPr>
  </w:style>
  <w:style w:type="paragraph" w:customStyle="1" w:styleId="Normal1">
    <w:name w:val="Normal1"/>
    <w:rsid w:val="00D80E61"/>
    <w:rPr>
      <w:rFonts w:eastAsia="ヒラギノ角ゴ Pro W3"/>
      <w:color w:val="000000"/>
      <w:sz w:val="24"/>
      <w:lang w:val="es-ES_tradnl"/>
    </w:rPr>
  </w:style>
  <w:style w:type="paragraph" w:styleId="BalloonText">
    <w:name w:val="Balloon Text"/>
    <w:basedOn w:val="Normal"/>
    <w:link w:val="BalloonTextChar"/>
    <w:uiPriority w:val="99"/>
    <w:semiHidden/>
    <w:unhideWhenUsed/>
    <w:rsid w:val="00172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CF"/>
    <w:rPr>
      <w:rFonts w:ascii="Segoe UI" w:hAnsi="Segoe UI" w:cs="Segoe UI"/>
      <w:sz w:val="18"/>
      <w:szCs w:val="18"/>
    </w:rPr>
  </w:style>
  <w:style w:type="paragraph" w:styleId="ListParagraph">
    <w:name w:val="List Paragraph"/>
    <w:basedOn w:val="Normal"/>
    <w:uiPriority w:val="34"/>
    <w:qFormat/>
    <w:rsid w:val="00065C77"/>
    <w:pPr>
      <w:ind w:left="720"/>
      <w:contextualSpacing/>
    </w:pPr>
  </w:style>
  <w:style w:type="character" w:styleId="CommentReference">
    <w:name w:val="annotation reference"/>
    <w:basedOn w:val="DefaultParagraphFont"/>
    <w:uiPriority w:val="99"/>
    <w:semiHidden/>
    <w:unhideWhenUsed/>
    <w:rsid w:val="007F6CF6"/>
    <w:rPr>
      <w:sz w:val="16"/>
      <w:szCs w:val="16"/>
    </w:rPr>
  </w:style>
  <w:style w:type="paragraph" w:styleId="CommentText">
    <w:name w:val="annotation text"/>
    <w:basedOn w:val="Normal"/>
    <w:link w:val="CommentTextChar"/>
    <w:uiPriority w:val="99"/>
    <w:semiHidden/>
    <w:unhideWhenUsed/>
    <w:rsid w:val="007F6CF6"/>
    <w:rPr>
      <w:sz w:val="20"/>
    </w:rPr>
  </w:style>
  <w:style w:type="character" w:customStyle="1" w:styleId="CommentTextChar">
    <w:name w:val="Comment Text Char"/>
    <w:basedOn w:val="DefaultParagraphFont"/>
    <w:link w:val="CommentText"/>
    <w:uiPriority w:val="99"/>
    <w:semiHidden/>
    <w:rsid w:val="007F6CF6"/>
  </w:style>
  <w:style w:type="paragraph" w:styleId="CommentSubject">
    <w:name w:val="annotation subject"/>
    <w:basedOn w:val="CommentText"/>
    <w:next w:val="CommentText"/>
    <w:link w:val="CommentSubjectChar"/>
    <w:uiPriority w:val="99"/>
    <w:semiHidden/>
    <w:unhideWhenUsed/>
    <w:rsid w:val="007F6CF6"/>
    <w:rPr>
      <w:b/>
      <w:bCs/>
    </w:rPr>
  </w:style>
  <w:style w:type="character" w:customStyle="1" w:styleId="CommentSubjectChar">
    <w:name w:val="Comment Subject Char"/>
    <w:basedOn w:val="CommentTextChar"/>
    <w:link w:val="CommentSubject"/>
    <w:uiPriority w:val="99"/>
    <w:semiHidden/>
    <w:rsid w:val="007F6CF6"/>
    <w:rPr>
      <w:b/>
      <w:bCs/>
    </w:rPr>
  </w:style>
  <w:style w:type="paragraph" w:styleId="Revision">
    <w:name w:val="Revision"/>
    <w:hidden/>
    <w:uiPriority w:val="99"/>
    <w:semiHidden/>
    <w:rsid w:val="00A360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221">
      <w:bodyDiv w:val="1"/>
      <w:marLeft w:val="0"/>
      <w:marRight w:val="0"/>
      <w:marTop w:val="0"/>
      <w:marBottom w:val="0"/>
      <w:divBdr>
        <w:top w:val="none" w:sz="0" w:space="0" w:color="auto"/>
        <w:left w:val="none" w:sz="0" w:space="0" w:color="auto"/>
        <w:bottom w:val="none" w:sz="0" w:space="0" w:color="auto"/>
        <w:right w:val="none" w:sz="0" w:space="0" w:color="auto"/>
      </w:divBdr>
      <w:divsChild>
        <w:div w:id="288513741">
          <w:marLeft w:val="0"/>
          <w:marRight w:val="0"/>
          <w:marTop w:val="0"/>
          <w:marBottom w:val="0"/>
          <w:divBdr>
            <w:top w:val="none" w:sz="0" w:space="0" w:color="auto"/>
            <w:left w:val="none" w:sz="0" w:space="0" w:color="auto"/>
            <w:bottom w:val="none" w:sz="0" w:space="0" w:color="auto"/>
            <w:right w:val="none" w:sz="0" w:space="0" w:color="auto"/>
          </w:divBdr>
          <w:divsChild>
            <w:div w:id="1374499340">
              <w:marLeft w:val="0"/>
              <w:marRight w:val="0"/>
              <w:marTop w:val="0"/>
              <w:marBottom w:val="0"/>
              <w:divBdr>
                <w:top w:val="none" w:sz="0" w:space="0" w:color="auto"/>
                <w:left w:val="none" w:sz="0" w:space="0" w:color="auto"/>
                <w:bottom w:val="none" w:sz="0" w:space="0" w:color="auto"/>
                <w:right w:val="none" w:sz="0" w:space="0" w:color="auto"/>
              </w:divBdr>
              <w:divsChild>
                <w:div w:id="20684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0880">
      <w:bodyDiv w:val="1"/>
      <w:marLeft w:val="0"/>
      <w:marRight w:val="0"/>
      <w:marTop w:val="0"/>
      <w:marBottom w:val="0"/>
      <w:divBdr>
        <w:top w:val="none" w:sz="0" w:space="0" w:color="auto"/>
        <w:left w:val="none" w:sz="0" w:space="0" w:color="auto"/>
        <w:bottom w:val="none" w:sz="0" w:space="0" w:color="auto"/>
        <w:right w:val="none" w:sz="0" w:space="0" w:color="auto"/>
      </w:divBdr>
    </w:div>
    <w:div w:id="405421343">
      <w:bodyDiv w:val="1"/>
      <w:marLeft w:val="0"/>
      <w:marRight w:val="0"/>
      <w:marTop w:val="0"/>
      <w:marBottom w:val="0"/>
      <w:divBdr>
        <w:top w:val="none" w:sz="0" w:space="0" w:color="auto"/>
        <w:left w:val="none" w:sz="0" w:space="0" w:color="auto"/>
        <w:bottom w:val="none" w:sz="0" w:space="0" w:color="auto"/>
        <w:right w:val="none" w:sz="0" w:space="0" w:color="auto"/>
      </w:divBdr>
    </w:div>
    <w:div w:id="636181674">
      <w:bodyDiv w:val="1"/>
      <w:marLeft w:val="0"/>
      <w:marRight w:val="0"/>
      <w:marTop w:val="0"/>
      <w:marBottom w:val="0"/>
      <w:divBdr>
        <w:top w:val="none" w:sz="0" w:space="0" w:color="auto"/>
        <w:left w:val="none" w:sz="0" w:space="0" w:color="auto"/>
        <w:bottom w:val="none" w:sz="0" w:space="0" w:color="auto"/>
        <w:right w:val="none" w:sz="0" w:space="0" w:color="auto"/>
      </w:divBdr>
    </w:div>
    <w:div w:id="717165648">
      <w:bodyDiv w:val="1"/>
      <w:marLeft w:val="0"/>
      <w:marRight w:val="0"/>
      <w:marTop w:val="0"/>
      <w:marBottom w:val="0"/>
      <w:divBdr>
        <w:top w:val="none" w:sz="0" w:space="0" w:color="auto"/>
        <w:left w:val="none" w:sz="0" w:space="0" w:color="auto"/>
        <w:bottom w:val="none" w:sz="0" w:space="0" w:color="auto"/>
        <w:right w:val="none" w:sz="0" w:space="0" w:color="auto"/>
      </w:divBdr>
    </w:div>
    <w:div w:id="798911031">
      <w:bodyDiv w:val="1"/>
      <w:marLeft w:val="0"/>
      <w:marRight w:val="0"/>
      <w:marTop w:val="0"/>
      <w:marBottom w:val="0"/>
      <w:divBdr>
        <w:top w:val="none" w:sz="0" w:space="0" w:color="auto"/>
        <w:left w:val="none" w:sz="0" w:space="0" w:color="auto"/>
        <w:bottom w:val="none" w:sz="0" w:space="0" w:color="auto"/>
        <w:right w:val="none" w:sz="0" w:space="0" w:color="auto"/>
      </w:divBdr>
    </w:div>
    <w:div w:id="1253783794">
      <w:bodyDiv w:val="1"/>
      <w:marLeft w:val="0"/>
      <w:marRight w:val="0"/>
      <w:marTop w:val="0"/>
      <w:marBottom w:val="0"/>
      <w:divBdr>
        <w:top w:val="none" w:sz="0" w:space="0" w:color="auto"/>
        <w:left w:val="none" w:sz="0" w:space="0" w:color="auto"/>
        <w:bottom w:val="none" w:sz="0" w:space="0" w:color="auto"/>
        <w:right w:val="none" w:sz="0" w:space="0" w:color="auto"/>
      </w:divBdr>
    </w:div>
    <w:div w:id="1327512388">
      <w:bodyDiv w:val="1"/>
      <w:marLeft w:val="0"/>
      <w:marRight w:val="0"/>
      <w:marTop w:val="0"/>
      <w:marBottom w:val="0"/>
      <w:divBdr>
        <w:top w:val="none" w:sz="0" w:space="0" w:color="auto"/>
        <w:left w:val="none" w:sz="0" w:space="0" w:color="auto"/>
        <w:bottom w:val="none" w:sz="0" w:space="0" w:color="auto"/>
        <w:right w:val="none" w:sz="0" w:space="0" w:color="auto"/>
      </w:divBdr>
    </w:div>
    <w:div w:id="1362825697">
      <w:bodyDiv w:val="1"/>
      <w:marLeft w:val="0"/>
      <w:marRight w:val="0"/>
      <w:marTop w:val="0"/>
      <w:marBottom w:val="0"/>
      <w:divBdr>
        <w:top w:val="none" w:sz="0" w:space="0" w:color="auto"/>
        <w:left w:val="none" w:sz="0" w:space="0" w:color="auto"/>
        <w:bottom w:val="none" w:sz="0" w:space="0" w:color="auto"/>
        <w:right w:val="none" w:sz="0" w:space="0" w:color="auto"/>
      </w:divBdr>
      <w:divsChild>
        <w:div w:id="1924871180">
          <w:marLeft w:val="0"/>
          <w:marRight w:val="0"/>
          <w:marTop w:val="0"/>
          <w:marBottom w:val="0"/>
          <w:divBdr>
            <w:top w:val="none" w:sz="0" w:space="0" w:color="auto"/>
            <w:left w:val="none" w:sz="0" w:space="0" w:color="auto"/>
            <w:bottom w:val="none" w:sz="0" w:space="0" w:color="auto"/>
            <w:right w:val="none" w:sz="0" w:space="0" w:color="auto"/>
          </w:divBdr>
          <w:divsChild>
            <w:div w:id="312564101">
              <w:marLeft w:val="0"/>
              <w:marRight w:val="0"/>
              <w:marTop w:val="0"/>
              <w:marBottom w:val="0"/>
              <w:divBdr>
                <w:top w:val="none" w:sz="0" w:space="0" w:color="auto"/>
                <w:left w:val="none" w:sz="0" w:space="0" w:color="auto"/>
                <w:bottom w:val="none" w:sz="0" w:space="0" w:color="auto"/>
                <w:right w:val="none" w:sz="0" w:space="0" w:color="auto"/>
              </w:divBdr>
              <w:divsChild>
                <w:div w:id="14176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734">
      <w:bodyDiv w:val="1"/>
      <w:marLeft w:val="0"/>
      <w:marRight w:val="0"/>
      <w:marTop w:val="0"/>
      <w:marBottom w:val="0"/>
      <w:divBdr>
        <w:top w:val="none" w:sz="0" w:space="0" w:color="auto"/>
        <w:left w:val="none" w:sz="0" w:space="0" w:color="auto"/>
        <w:bottom w:val="none" w:sz="0" w:space="0" w:color="auto"/>
        <w:right w:val="none" w:sz="0" w:space="0" w:color="auto"/>
      </w:divBdr>
    </w:div>
    <w:div w:id="1504585640">
      <w:bodyDiv w:val="1"/>
      <w:marLeft w:val="0"/>
      <w:marRight w:val="0"/>
      <w:marTop w:val="0"/>
      <w:marBottom w:val="0"/>
      <w:divBdr>
        <w:top w:val="none" w:sz="0" w:space="0" w:color="auto"/>
        <w:left w:val="none" w:sz="0" w:space="0" w:color="auto"/>
        <w:bottom w:val="none" w:sz="0" w:space="0" w:color="auto"/>
        <w:right w:val="none" w:sz="0" w:space="0" w:color="auto"/>
      </w:divBdr>
    </w:div>
    <w:div w:id="1766413186">
      <w:bodyDiv w:val="1"/>
      <w:marLeft w:val="0"/>
      <w:marRight w:val="0"/>
      <w:marTop w:val="0"/>
      <w:marBottom w:val="0"/>
      <w:divBdr>
        <w:top w:val="none" w:sz="0" w:space="0" w:color="auto"/>
        <w:left w:val="none" w:sz="0" w:space="0" w:color="auto"/>
        <w:bottom w:val="none" w:sz="0" w:space="0" w:color="auto"/>
        <w:right w:val="none" w:sz="0" w:space="0" w:color="auto"/>
      </w:divBdr>
    </w:div>
    <w:div w:id="2053840381">
      <w:bodyDiv w:val="1"/>
      <w:marLeft w:val="0"/>
      <w:marRight w:val="0"/>
      <w:marTop w:val="0"/>
      <w:marBottom w:val="0"/>
      <w:divBdr>
        <w:top w:val="none" w:sz="0" w:space="0" w:color="auto"/>
        <w:left w:val="none" w:sz="0" w:space="0" w:color="auto"/>
        <w:bottom w:val="none" w:sz="0" w:space="0" w:color="auto"/>
        <w:right w:val="none" w:sz="0" w:space="0" w:color="auto"/>
      </w:divBdr>
    </w:div>
    <w:div w:id="2055226045">
      <w:bodyDiv w:val="1"/>
      <w:marLeft w:val="0"/>
      <w:marRight w:val="0"/>
      <w:marTop w:val="0"/>
      <w:marBottom w:val="0"/>
      <w:divBdr>
        <w:top w:val="none" w:sz="0" w:space="0" w:color="auto"/>
        <w:left w:val="none" w:sz="0" w:space="0" w:color="auto"/>
        <w:bottom w:val="none" w:sz="0" w:space="0" w:color="auto"/>
        <w:right w:val="none" w:sz="0" w:space="0" w:color="auto"/>
      </w:divBdr>
    </w:div>
    <w:div w:id="2066250911">
      <w:bodyDiv w:val="1"/>
      <w:marLeft w:val="0"/>
      <w:marRight w:val="0"/>
      <w:marTop w:val="0"/>
      <w:marBottom w:val="0"/>
      <w:divBdr>
        <w:top w:val="none" w:sz="0" w:space="0" w:color="auto"/>
        <w:left w:val="none" w:sz="0" w:space="0" w:color="auto"/>
        <w:bottom w:val="none" w:sz="0" w:space="0" w:color="auto"/>
        <w:right w:val="none" w:sz="0" w:space="0" w:color="auto"/>
      </w:divBdr>
    </w:div>
    <w:div w:id="21266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5" ma:contentTypeDescription="Create a new document." ma:contentTypeScope="" ma:versionID="a9e464653cf2bcbd18e0b128148b6119">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bc604c804a76b73b22017f1fbce5ece3"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1c665b-18a4-423b-8a87-b9a4f8bf8551}" ma:internalName="TaxCatchAll" ma:showField="CatchAllData" ma:web="c890fddd-4e87-4e08-8b51-545f2a3f7b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f9b2a8-1e3a-458e-92b7-62c6f6b9188e"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4SQX5P7U7WPY-958212181-788420</_dlc_DocId>
    <_dlc_DocIdUrl xmlns="c890fddd-4e87-4e08-8b51-545f2a3f7b06">
      <Url>https://senpr.sharepoint.com/sites/obralegislativa/_layouts/15/DocIdRedir.aspx?ID=4SQX5P7U7WPY-958212181-788420</Url>
      <Description>4SQX5P7U7WPY-958212181-788420</Description>
    </_dlc_DocIdUrl>
    <TaxCatchAll xmlns="c890fddd-4e87-4e08-8b51-545f2a3f7b06" xsi:nil="true"/>
    <lcf76f155ced4ddcb4097134ff3c332f xmlns="f29de0d1-023e-4363-82d3-bb472b30be6a">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9A2191D4-7BA1-4344-AB21-F511AFC62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90fddd-4e87-4e08-8b51-545f2a3f7b06"/>
    <ds:schemaRef ds:uri="f29de0d1-023e-4363-82d3-bb472b30b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8CDE7-AE48-445A-B4EB-BC055FD096E6}">
  <ds:schemaRefs>
    <ds:schemaRef ds:uri="http://schemas.microsoft.com/sharepoint/events"/>
  </ds:schemaRefs>
</ds:datastoreItem>
</file>

<file path=customXml/itemProps4.xml><?xml version="1.0" encoding="utf-8"?>
<ds:datastoreItem xmlns:ds="http://schemas.openxmlformats.org/officeDocument/2006/customXml" ds:itemID="{173ECBEA-CBEA-4387-AFD5-596249F830C6}">
  <ds:schemaRefs>
    <ds:schemaRef ds:uri="http://schemas.microsoft.com/sharepoint/v3/contenttype/forms"/>
  </ds:schemaRefs>
</ds:datastoreItem>
</file>

<file path=customXml/itemProps5.xml><?xml version="1.0" encoding="utf-8"?>
<ds:datastoreItem xmlns:ds="http://schemas.openxmlformats.org/officeDocument/2006/customXml" ds:itemID="{4C34E10C-C4C2-4E62-9C8A-B6F191480D5B}">
  <ds:schemaRefs>
    <ds:schemaRef ds:uri="http://schemas.microsoft.com/office/2006/metadata/properties"/>
    <ds:schemaRef ds:uri="http://schemas.microsoft.com/office/infopath/2007/PartnerControls"/>
    <ds:schemaRef ds:uri="http://schemas.microsoft.com/sharepoint/v3"/>
    <ds:schemaRef ds:uri="c890fddd-4e87-4e08-8b51-545f2a3f7b06"/>
    <ds:schemaRef ds:uri="f29de0d1-023e-4363-82d3-bb472b30be6a"/>
  </ds:schemaRefs>
</ds:datastoreItem>
</file>

<file path=customXml/itemProps6.xml><?xml version="1.0" encoding="utf-8"?>
<ds:datastoreItem xmlns:ds="http://schemas.openxmlformats.org/officeDocument/2006/customXml" ds:itemID="{F13F3241-9B8E-4A96-B3F1-885A64D9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53</TotalTime>
  <Pages>8</Pages>
  <Words>3657</Words>
  <Characters>19149</Characters>
  <Application>Microsoft Office Word</Application>
  <DocSecurity>0</DocSecurity>
  <Lines>159</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asesora - IT</vt:lpstr>
      <vt:lpstr>asesora - IT</vt:lpstr>
    </vt:vector>
  </TitlesOfParts>
  <Company>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Effie A. Acevedo Guasp</dc:creator>
  <cp:keywords/>
  <cp:lastModifiedBy>Jessica M. Caraballo Rivera</cp:lastModifiedBy>
  <cp:revision>12</cp:revision>
  <cp:lastPrinted>2024-03-05T23:47:00Z</cp:lastPrinted>
  <dcterms:created xsi:type="dcterms:W3CDTF">2024-02-16T17:25:00Z</dcterms:created>
  <dcterms:modified xsi:type="dcterms:W3CDTF">2024-03-05T23:47:00Z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7f63b329-f03b-4fec-830e-aa71789d42c2</vt:lpwstr>
  </property>
</Properties>
</file>